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585C66"/>
          <w:spacing w:val="26"/>
          <w:sz w:val="18"/>
          <w:szCs w:val="18"/>
        </w:rPr>
        <w:t xml:space="preserve">BOTELLA ENGINE  /  STORE ASSESSMENT</w:t>
      </w:r>
    </w:p>
    <w:p>
      <w:pPr>
        <w:spacing w:after="90"/>
      </w:pPr>
      <w:r>
        <w:rPr>
          <w:b/>
          <w:bCs/>
          <w:color w:val="16181D"/>
          <w:sz w:val="48"/>
          <w:szCs w:val="48"/>
        </w:rPr>
        <w:t xml:space="preserve">Bethany Discount Liquor</w:t>
      </w:r>
    </w:p>
    <w:p>
      <w:pPr>
        <w:spacing w:after="120" w:line="300"/>
      </w:pPr>
      <w:r>
        <w:rPr>
          <w:color w:val="585C66"/>
          <w:sz w:val="23"/>
          <w:szCs w:val="23"/>
        </w:rPr>
        <w:t xml:space="preserve">The engine measured at full strength, because this store has the history to support it.</w:t>
      </w:r>
    </w:p>
    <w:p>
      <w:pPr>
        <w:pBdr>
          <w:bottom w:val="single" w:color="16181D" w:sz="12" w:space="7"/>
        </w:pBdr>
        <w:spacing w:after="240"/>
      </w:pPr>
      <w:r>
        <w:rPr>
          <w:color w:val="585C66"/>
          <w:sz w:val="18"/>
          <w:szCs w:val="18"/>
        </w:rPr>
        <w:t xml:space="preserve">Store 171, Allen TX  -  sales 2023-01-03 to 2026-10-15  -  report 2026-10-16</w:t>
      </w:r>
    </w:p>
    <w:tbl>
      <w:tblPr>
        <w:tblW w:type="dxa" w:w="9640"/>
        <w:tblBorders>
          <w:top w:val="single" w:color="D2CEC4" w:sz="4"/>
          <w:left w:val="none"/>
          <w:bottom w:val="single" w:color="D2CEC4" w:sz="4"/>
          <w:right w:val="none"/>
          <w:insideH w:val="none"/>
          <w:insideV w:val="single" w:color="D2CEC4" w:sz="2"/>
        </w:tblBorders>
      </w:tblPr>
      <w:tblGrid>
        <w:gridCol w:w="2410"/>
        <w:gridCol w:w="2410"/>
        <w:gridCol w:w="2410"/>
        <w:gridCol w:w="2410"/>
      </w:tblGrid>
      <w:tr>
        <w:tc>
          <w:tcPr>
            <w:tcW w:type="dxa" w:w="2410"/>
            <w:tcMar>
              <w:top w:type="dxa" w:w="170"/>
              <w:left w:type="dxa" w:w="130"/>
              <w:bottom w:type="dxa" w:w="170"/>
              <w:right w:type="dxa" w:w="130"/>
            </w:tcMar>
          </w:tcPr>
          <w:p>
            <w:pPr>
              <w:spacing w:after="40"/>
              <w:jc w:val="center"/>
            </w:pPr>
            <w:r>
              <w:rPr>
                <w:b/>
                <w:bCs/>
                <w:color w:val="155724"/>
                <w:sz w:val="40"/>
                <w:szCs w:val="40"/>
              </w:rPr>
              <w:t xml:space="preserve">78.0%</w:t>
            </w:r>
          </w:p>
          <w:p>
            <w:pPr>
              <w:spacing w:after="0" w:line="240"/>
              <w:jc w:val="center"/>
            </w:pPr>
            <w:r>
              <w:rPr>
                <w:color w:val="585C66"/>
                <w:sz w:val="17"/>
                <w:szCs w:val="17"/>
              </w:rPr>
              <w:t xml:space="preserve">backtest hit rate</w:t>
            </w:r>
          </w:p>
        </w:tc>
        <w:tc>
          <w:tcPr>
            <w:tcW w:type="dxa" w:w="2410"/>
            <w:tcMar>
              <w:top w:type="dxa" w:w="170"/>
              <w:left w:type="dxa" w:w="130"/>
              <w:bottom w:type="dxa" w:w="170"/>
              <w:right w:type="dxa" w:w="130"/>
            </w:tcMar>
          </w:tcPr>
          <w:p>
            <w:pPr>
              <w:spacing w:after="40"/>
              <w:jc w:val="center"/>
            </w:pPr>
            <w:r>
              <w:rPr>
                <w:b/>
                <w:bCs/>
                <w:color w:val="155724"/>
                <w:sz w:val="40"/>
                <w:szCs w:val="40"/>
              </w:rPr>
              <w:t xml:space="preserve">+18.8</w:t>
            </w:r>
          </w:p>
          <w:p>
            <w:pPr>
              <w:spacing w:after="0" w:line="240"/>
              <w:jc w:val="center"/>
            </w:pPr>
            <w:r>
              <w:rPr>
                <w:color w:val="585C66"/>
                <w:sz w:val="17"/>
                <w:szCs w:val="17"/>
              </w:rPr>
              <w:t xml:space="preserve">points over the hard null</w:t>
            </w:r>
          </w:p>
        </w:tc>
        <w:tc>
          <w:tcPr>
            <w:tcW w:type="dxa" w:w="2410"/>
            <w:tcMar>
              <w:top w:type="dxa" w:w="170"/>
              <w:left w:type="dxa" w:w="130"/>
              <w:bottom w:type="dxa" w:w="170"/>
              <w:right w:type="dxa" w:w="130"/>
            </w:tcMar>
          </w:tcPr>
          <w:p>
            <w:pPr>
              <w:spacing w:after="40"/>
              <w:jc w:val="center"/>
            </w:pPr>
            <w:r>
              <w:rPr>
                <w:b/>
                <w:bCs/>
                <w:color w:val="16181D"/>
                <w:sz w:val="40"/>
                <w:szCs w:val="40"/>
              </w:rPr>
              <w:t xml:space="preserve">1,040</w:t>
            </w:r>
          </w:p>
          <w:p>
            <w:pPr>
              <w:spacing w:after="0" w:line="240"/>
              <w:jc w:val="center"/>
            </w:pPr>
            <w:r>
              <w:rPr>
                <w:color w:val="585C66"/>
                <w:sz w:val="17"/>
                <w:szCs w:val="17"/>
              </w:rPr>
              <w:t xml:space="preserve">cards scored</w:t>
            </w:r>
          </w:p>
        </w:tc>
        <w:tc>
          <w:tcPr>
            <w:tcW w:type="dxa" w:w="2410"/>
            <w:tcMar>
              <w:top w:type="dxa" w:w="170"/>
              <w:left w:type="dxa" w:w="130"/>
              <w:bottom w:type="dxa" w:w="170"/>
              <w:right w:type="dxa" w:w="130"/>
            </w:tcMar>
          </w:tcPr>
          <w:p>
            <w:pPr>
              <w:spacing w:after="40"/>
              <w:jc w:val="center"/>
            </w:pPr>
            <w:r>
              <w:rPr>
                <w:b/>
                <w:bCs/>
                <w:color w:val="155724"/>
                <w:sz w:val="40"/>
                <w:szCs w:val="40"/>
              </w:rPr>
              <w:t xml:space="preserve">83/100</w:t>
            </w:r>
          </w:p>
          <w:p>
            <w:pPr>
              <w:spacing w:after="0" w:line="240"/>
              <w:jc w:val="center"/>
            </w:pPr>
            <w:r>
              <w:rPr>
                <w:color w:val="585C66"/>
                <w:sz w:val="17"/>
                <w:szCs w:val="17"/>
              </w:rPr>
              <w:t xml:space="preserve">engine confidence</w:t>
            </w:r>
          </w:p>
        </w:tc>
      </w:tr>
    </w:tbl>
    <w:p>
      <w:pPr>
        <w:pStyle w:val="Heading1"/>
        <w:pBdr>
          <w:bottom w:val="single" w:color="D2CEC4" w:sz="6" w:space="6"/>
        </w:pBdr>
        <w:spacing w:after="150" w:before="380"/>
      </w:pPr>
      <w:r>
        <w:rPr>
          <w:b/>
          <w:bCs/>
          <w:color w:val="16181D"/>
          <w:sz w:val="29"/>
          <w:szCs w:val="29"/>
        </w:rPr>
        <w:t xml:space="preserve">Verdict</w:t>
      </w:r>
    </w:p>
    <w:tbl>
      <w:tblPr>
        <w:tblW w:type="dxa" w:w="9640"/>
        <w:tblBorders>
          <w:top w:val="single" w:color="D2CEC4" w:sz="2"/>
          <w:left w:val="single" w:color="155724" w:sz="14"/>
          <w:bottom w:val="single" w:color="D2CEC4" w:sz="2"/>
          <w:right w:val="single" w:color="D2CEC4" w:sz="2"/>
          <w:insideH w:val="none"/>
          <w:insideV w:val="none"/>
        </w:tblBorders>
      </w:tblPr>
      <w:tblGrid>
        <w:gridCol w:w="9640"/>
      </w:tblGrid>
      <w:tr>
        <w:tc>
          <w:tcPr>
            <w:tcW w:type="dxa" w:w="9640"/>
            <w:shd w:fill="EEF3EC" w:color="auto" w:val="clear"/>
            <w:tcMar>
              <w:top w:type="dxa" w:w="180"/>
              <w:left w:type="dxa" w:w="210"/>
              <w:bottom w:type="dxa" w:w="180"/>
              <w:right w:type="dxa" w:w="210"/>
            </w:tcMar>
          </w:tcPr>
          <w:p>
            <w:pPr>
              <w:spacing w:after="105" w:line="300"/>
            </w:pPr>
            <w:r>
              <w:rPr>
                <w:b/>
                <w:bCs/>
                <w:color w:val="155724"/>
                <w:sz w:val="21"/>
                <w:szCs w:val="21"/>
              </w:rPr>
              <w:t xml:space="preserve">The engine works at this store, and this is the first assessment with enough evidence behind it to say so.</w:t>
            </w:r>
          </w:p>
          <w:p>
            <w:pPr>
              <w:spacing w:after="105" w:line="300"/>
            </w:pPr>
            <w:r>
              <w:rPr>
                <w:b w:val="false"/>
                <w:bCs w:val="false"/>
                <w:color w:val="16181D"/>
                <w:sz w:val="21"/>
                <w:szCs w:val="21"/>
              </w:rPr>
              <w:t xml:space="preserve">Bethany has 1,381 days of span across 1,178 trading days. The production backtest requires 492 and so runs here in full, over 55 non-overlapping decision dates and four horizons, scoring 1,040 cards.</w:t>
            </w:r>
          </w:p>
          <w:p>
            <w:pPr>
              <w:spacing w:after="105" w:line="300"/>
            </w:pPr>
            <w:r>
              <w:rPr>
                <w:b w:val="false"/>
                <w:bCs w:val="false"/>
                <w:color w:val="16181D"/>
                <w:sz w:val="21"/>
                <w:szCs w:val="21"/>
              </w:rPr>
              <w:t xml:space="preserve">Picks beat the reversion-matched null by 18.8 points (78.0% against 59.2%) at p=0.0005, and the forecaster is the best of five models at every horizon against all three baselines.</w:t>
            </w:r>
          </w:p>
          <w:p>
            <w:pPr>
              <w:spacing w:after="0" w:line="300"/>
            </w:pPr>
            <w:r>
              <w:rPr>
                <w:b/>
                <w:bCs/>
                <w:color w:val="8A4B08"/>
                <w:sz w:val="21"/>
                <w:szCs w:val="21"/>
              </w:rPr>
              <w:t xml:space="preserve">Two things are NOT working, and neither is the model: the receiving feed is empty, and the confidence number on a card does not track outcomes.</w:t>
            </w:r>
          </w:p>
        </w:tc>
      </w:tr>
    </w:tbl>
    <w:p>
      <w:pPr>
        <w:pStyle w:val="Heading1"/>
        <w:pBdr>
          <w:bottom w:val="single" w:color="D2CEC4" w:sz="6" w:space="6"/>
        </w:pBdr>
        <w:spacing w:after="150" w:before="380"/>
      </w:pPr>
      <w:r>
        <w:rPr>
          <w:b/>
          <w:bCs/>
          <w:color w:val="16181D"/>
          <w:sz w:val="29"/>
          <w:szCs w:val="29"/>
        </w:rPr>
        <w:t xml:space="preserve">1. Production backtest</w:t>
      </w:r>
    </w:p>
    <w:p>
      <w:pPr>
        <w:spacing w:after="135" w:line="300"/>
      </w:pPr>
      <w:r>
        <w:rPr>
          <w:b w:val="false"/>
          <w:bCs w:val="false"/>
          <w:i w:val="false"/>
          <w:iCs w:val="false"/>
          <w:color w:val="16181D"/>
          <w:sz w:val="21"/>
          <w:szCs w:val="21"/>
        </w:rPr>
        <w:t xml:space="preserve">The real measurement, not a reduced-window substitute. Every figure comes from app/pipeline through the same decision path a live request takes, replayed over 55 dates from 2024-01-08 to 2026-06-12.</w:t>
      </w:r>
    </w:p>
    <w:p>
      <w:pPr>
        <w:pStyle w:val="Heading2"/>
        <w:spacing w:after="110" w:before="290"/>
      </w:pPr>
      <w:r>
        <w:rPr>
          <w:b/>
          <w:bCs/>
          <w:color w:val="2E4057"/>
          <w:sz w:val="24"/>
          <w:szCs w:val="24"/>
        </w:rPr>
        <w:t xml:space="preserve">By horizon, which is the breakdown asked for</w:t>
      </w:r>
    </w:p>
    <w:tbl>
      <w:tblPr>
        <w:tblW w:type="dxa" w:w="9640"/>
        <w:tblBorders>
          <w:top w:val="single" w:color="D2CEC4" w:sz="4"/>
          <w:left w:val="none"/>
          <w:bottom w:val="single" w:color="D2CEC4" w:sz="4"/>
          <w:right w:val="none"/>
          <w:insideH w:val="single" w:color="E8E4DB" w:sz="2"/>
          <w:insideV w:val="none"/>
        </w:tblBorders>
      </w:tblPr>
      <w:tblGrid>
        <w:gridCol w:w="1200"/>
        <w:gridCol w:w="900"/>
        <w:gridCol w:w="1200"/>
        <w:gridCol w:w="1500"/>
        <w:gridCol w:w="1640"/>
        <w:gridCol w:w="1400"/>
        <w:gridCol w:w="1800"/>
      </w:tblGrid>
      <w:tr>
        <w:trPr>
          <w:tblHeader/>
        </w:trPr>
        <w:tc>
          <w:tcPr>
            <w:tcW w:type="dxa" w:w="1200"/>
            <w:shd w:fill="ECE8DE" w:color="auto" w:val="clear"/>
            <w:tcMar>
              <w:top w:type="dxa" w:w="95"/>
              <w:left w:type="dxa" w:w="120"/>
              <w:bottom w:type="dxa" w:w="95"/>
              <w:right w:type="dxa" w:w="120"/>
            </w:tcMar>
          </w:tcPr>
          <w:p>
            <w:pPr>
              <w:spacing w:after="0" w:line="255"/>
              <w:jc w:val="left"/>
            </w:pPr>
            <w:r>
              <w:rPr>
                <w:b/>
                <w:bCs/>
                <w:color w:val="16181D"/>
                <w:sz w:val="19"/>
                <w:szCs w:val="19"/>
              </w:rPr>
              <w:t xml:space="preserve">Horizon</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Cards</w:t>
            </w:r>
          </w:p>
        </w:tc>
        <w:tc>
          <w:tcPr>
            <w:tcW w:type="dxa" w:w="12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Hit rate</w:t>
            </w:r>
          </w:p>
        </w:tc>
        <w:tc>
          <w:tcPr>
            <w:tcW w:type="dxa" w:w="1500"/>
            <w:shd w:fill="ECE8DE" w:color="auto" w:val="clear"/>
            <w:tcMar>
              <w:top w:type="dxa" w:w="95"/>
              <w:left w:type="dxa" w:w="120"/>
              <w:bottom w:type="dxa" w:w="95"/>
              <w:right w:type="dxa" w:w="120"/>
            </w:tcMar>
          </w:tcPr>
          <w:p>
            <w:pPr>
              <w:spacing w:after="0" w:line="255"/>
              <w:jc w:val="center"/>
            </w:pPr>
            <w:r>
              <w:rPr>
                <w:b/>
                <w:bCs/>
                <w:color w:val="16181D"/>
                <w:sz w:val="19"/>
                <w:szCs w:val="19"/>
              </w:rPr>
              <w:t xml:space="preserve">95% CI</w:t>
            </w:r>
          </w:p>
        </w:tc>
        <w:tc>
          <w:tcPr>
            <w:tcW w:type="dxa" w:w="1640"/>
            <w:shd w:fill="ECE8DE" w:color="auto" w:val="clear"/>
            <w:tcMar>
              <w:top w:type="dxa" w:w="95"/>
              <w:left w:type="dxa" w:w="120"/>
              <w:bottom w:type="dxa" w:w="95"/>
              <w:right w:type="dxa" w:w="120"/>
            </w:tcMar>
          </w:tcPr>
          <w:p>
            <w:pPr>
              <w:spacing w:after="0" w:line="255"/>
              <w:jc w:val="right"/>
            </w:pPr>
            <w:r>
              <w:rPr>
                <w:b/>
                <w:bCs/>
                <w:color w:val="16181D"/>
                <w:sz w:val="19"/>
                <w:szCs w:val="19"/>
              </w:rPr>
              <w:t xml:space="preserve">Reversion null</w:t>
            </w:r>
          </w:p>
        </w:tc>
        <w:tc>
          <w:tcPr>
            <w:tcW w:type="dxa" w:w="14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Edge</w:t>
            </w:r>
          </w:p>
        </w:tc>
        <w:tc>
          <w:tcPr>
            <w:tcW w:type="dxa" w:w="18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Median lift</w:t>
            </w:r>
          </w:p>
        </w:tc>
      </w:tr>
      <w:tr>
        <w:tc>
          <w:tcPr>
            <w:tcW w:type="dxa" w:w="1200"/>
            <w:tcMar>
              <w:top w:type="dxa" w:w="95"/>
              <w:left w:type="dxa" w:w="120"/>
              <w:bottom w:type="dxa" w:w="95"/>
              <w:right w:type="dxa" w:w="120"/>
            </w:tcMar>
          </w:tcPr>
          <w:p>
            <w:pPr>
              <w:spacing w:after="0" w:line="255"/>
              <w:jc w:val="left"/>
            </w:pPr>
            <w:r>
              <w:rPr>
                <w:b w:val="false"/>
                <w:bCs w:val="false"/>
                <w:color w:val="16181D"/>
                <w:sz w:val="19"/>
                <w:szCs w:val="19"/>
              </w:rPr>
              <w:t xml:space="preserve">30 days</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260</w:t>
            </w:r>
          </w:p>
        </w:tc>
        <w:tc>
          <w:tcPr>
            <w:tcW w:type="dxa" w:w="1200"/>
            <w:tcMar>
              <w:top w:type="dxa" w:w="95"/>
              <w:left w:type="dxa" w:w="120"/>
              <w:bottom w:type="dxa" w:w="95"/>
              <w:right w:type="dxa" w:w="120"/>
            </w:tcMar>
          </w:tcPr>
          <w:p>
            <w:pPr>
              <w:spacing w:after="0" w:line="255"/>
              <w:jc w:val="right"/>
            </w:pPr>
            <w:r>
              <w:rPr>
                <w:b w:val="false"/>
                <w:bCs w:val="false"/>
                <w:color w:val="155724"/>
                <w:sz w:val="19"/>
                <w:szCs w:val="19"/>
              </w:rPr>
              <w:t xml:space="preserve">74.2%</w:t>
            </w:r>
          </w:p>
        </w:tc>
        <w:tc>
          <w:tcPr>
            <w:tcW w:type="dxa" w:w="1500"/>
            <w:tcMar>
              <w:top w:type="dxa" w:w="95"/>
              <w:left w:type="dxa" w:w="120"/>
              <w:bottom w:type="dxa" w:w="95"/>
              <w:right w:type="dxa" w:w="120"/>
            </w:tcMar>
          </w:tcPr>
          <w:p>
            <w:pPr>
              <w:spacing w:after="0" w:line="255"/>
              <w:jc w:val="center"/>
            </w:pPr>
            <w:r>
              <w:rPr>
                <w:b w:val="false"/>
                <w:bCs w:val="false"/>
                <w:color w:val="16181D"/>
                <w:sz w:val="19"/>
                <w:szCs w:val="19"/>
              </w:rPr>
              <w:t xml:space="preserve">69% - 79%</w:t>
            </w:r>
          </w:p>
        </w:tc>
        <w:tc>
          <w:tcPr>
            <w:tcW w:type="dxa" w:w="1640"/>
            <w:tcMar>
              <w:top w:type="dxa" w:w="95"/>
              <w:left w:type="dxa" w:w="120"/>
              <w:bottom w:type="dxa" w:w="95"/>
              <w:right w:type="dxa" w:w="120"/>
            </w:tcMar>
          </w:tcPr>
          <w:p>
            <w:pPr>
              <w:spacing w:after="0" w:line="255"/>
              <w:jc w:val="right"/>
            </w:pPr>
            <w:r>
              <w:rPr>
                <w:b w:val="false"/>
                <w:bCs w:val="false"/>
                <w:color w:val="16181D"/>
                <w:sz w:val="19"/>
                <w:szCs w:val="19"/>
              </w:rPr>
              <w:t xml:space="preserve">52.0%</w:t>
            </w:r>
          </w:p>
        </w:tc>
        <w:tc>
          <w:tcPr>
            <w:tcW w:type="dxa" w:w="1400"/>
            <w:tcMar>
              <w:top w:type="dxa" w:w="95"/>
              <w:left w:type="dxa" w:w="120"/>
              <w:bottom w:type="dxa" w:w="95"/>
              <w:right w:type="dxa" w:w="120"/>
            </w:tcMar>
          </w:tcPr>
          <w:p>
            <w:pPr>
              <w:spacing w:after="0" w:line="255"/>
              <w:jc w:val="right"/>
            </w:pPr>
            <w:r>
              <w:rPr>
                <w:b w:val="false"/>
                <w:bCs w:val="false"/>
                <w:color w:val="155724"/>
                <w:sz w:val="19"/>
                <w:szCs w:val="19"/>
              </w:rPr>
              <w:t xml:space="preserve">+22.2 pts</w:t>
            </w:r>
          </w:p>
        </w:tc>
        <w:tc>
          <w:tcPr>
            <w:tcW w:type="dxa" w:w="1800"/>
            <w:tcMar>
              <w:top w:type="dxa" w:w="95"/>
              <w:left w:type="dxa" w:w="120"/>
              <w:bottom w:type="dxa" w:w="95"/>
              <w:right w:type="dxa" w:w="120"/>
            </w:tcMar>
          </w:tcPr>
          <w:p>
            <w:pPr>
              <w:spacing w:after="0" w:line="255"/>
              <w:jc w:val="right"/>
            </w:pPr>
            <w:r>
              <w:rPr>
                <w:b w:val="false"/>
                <w:bCs w:val="false"/>
                <w:color w:val="16181D"/>
                <w:sz w:val="19"/>
                <w:szCs w:val="19"/>
              </w:rPr>
              <w:t xml:space="preserve">1.48x</w:t>
            </w:r>
          </w:p>
        </w:tc>
      </w:tr>
      <w:tr>
        <w:tc>
          <w:tcPr>
            <w:tcW w:type="dxa" w:w="1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60 days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260</w:t>
            </w:r>
          </w:p>
        </w:tc>
        <w:tc>
          <w:tcPr>
            <w:tcW w:type="dxa" w:w="12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79.2%</w:t>
            </w:r>
          </w:p>
        </w:tc>
        <w:tc>
          <w:tcPr>
            <w:tcW w:type="dxa" w:w="1500"/>
            <w:shd w:fill="FBFAF7" w:color="auto" w:val="clear"/>
            <w:tcMar>
              <w:top w:type="dxa" w:w="95"/>
              <w:left w:type="dxa" w:w="120"/>
              <w:bottom w:type="dxa" w:w="95"/>
              <w:right w:type="dxa" w:w="120"/>
            </w:tcMar>
          </w:tcPr>
          <w:p>
            <w:pPr>
              <w:spacing w:after="0" w:line="255"/>
              <w:jc w:val="center"/>
            </w:pPr>
            <w:r>
              <w:rPr>
                <w:b w:val="false"/>
                <w:bCs w:val="false"/>
                <w:color w:val="16181D"/>
                <w:sz w:val="19"/>
                <w:szCs w:val="19"/>
              </w:rPr>
              <w:t xml:space="preserve">74% - 84%</w:t>
            </w:r>
          </w:p>
        </w:tc>
        <w:tc>
          <w:tcPr>
            <w:tcW w:type="dxa" w:w="164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59.8%</w:t>
            </w:r>
          </w:p>
        </w:tc>
        <w:tc>
          <w:tcPr>
            <w:tcW w:type="dxa" w:w="14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+19.4 pts</w:t>
            </w:r>
          </w:p>
        </w:tc>
        <w:tc>
          <w:tcPr>
            <w:tcW w:type="dxa" w:w="18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1.43x</w:t>
            </w:r>
          </w:p>
        </w:tc>
      </w:tr>
      <w:tr>
        <w:tc>
          <w:tcPr>
            <w:tcW w:type="dxa" w:w="1200"/>
            <w:tcMar>
              <w:top w:type="dxa" w:w="95"/>
              <w:left w:type="dxa" w:w="120"/>
              <w:bottom w:type="dxa" w:w="95"/>
              <w:right w:type="dxa" w:w="120"/>
            </w:tcMar>
          </w:tcPr>
          <w:p>
            <w:pPr>
              <w:spacing w:after="0" w:line="255"/>
              <w:jc w:val="left"/>
            </w:pPr>
            <w:r>
              <w:rPr>
                <w:b w:val="false"/>
                <w:bCs w:val="false"/>
                <w:color w:val="16181D"/>
                <w:sz w:val="19"/>
                <w:szCs w:val="19"/>
              </w:rPr>
              <w:t xml:space="preserve">90 days</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260</w:t>
            </w:r>
          </w:p>
        </w:tc>
        <w:tc>
          <w:tcPr>
            <w:tcW w:type="dxa" w:w="1200"/>
            <w:tcMar>
              <w:top w:type="dxa" w:w="95"/>
              <w:left w:type="dxa" w:w="120"/>
              <w:bottom w:type="dxa" w:w="95"/>
              <w:right w:type="dxa" w:w="120"/>
            </w:tcMar>
          </w:tcPr>
          <w:p>
            <w:pPr>
              <w:spacing w:after="0" w:line="255"/>
              <w:jc w:val="right"/>
            </w:pPr>
            <w:r>
              <w:rPr>
                <w:b w:val="false"/>
                <w:bCs w:val="false"/>
                <w:color w:val="155724"/>
                <w:sz w:val="19"/>
                <w:szCs w:val="19"/>
              </w:rPr>
              <w:t xml:space="preserve">80.4%</w:t>
            </w:r>
          </w:p>
        </w:tc>
        <w:tc>
          <w:tcPr>
            <w:tcW w:type="dxa" w:w="1500"/>
            <w:tcMar>
              <w:top w:type="dxa" w:w="95"/>
              <w:left w:type="dxa" w:w="120"/>
              <w:bottom w:type="dxa" w:w="95"/>
              <w:right w:type="dxa" w:w="120"/>
            </w:tcMar>
          </w:tcPr>
          <w:p>
            <w:pPr>
              <w:spacing w:after="0" w:line="255"/>
              <w:jc w:val="center"/>
            </w:pPr>
            <w:r>
              <w:rPr>
                <w:b w:val="false"/>
                <w:bCs w:val="false"/>
                <w:color w:val="16181D"/>
                <w:sz w:val="19"/>
                <w:szCs w:val="19"/>
              </w:rPr>
              <w:t xml:space="preserve">75% - 85%</w:t>
            </w:r>
          </w:p>
        </w:tc>
        <w:tc>
          <w:tcPr>
            <w:tcW w:type="dxa" w:w="1640"/>
            <w:tcMar>
              <w:top w:type="dxa" w:w="95"/>
              <w:left w:type="dxa" w:w="120"/>
              <w:bottom w:type="dxa" w:w="95"/>
              <w:right w:type="dxa" w:w="120"/>
            </w:tcMar>
          </w:tcPr>
          <w:p>
            <w:pPr>
              <w:spacing w:after="0" w:line="255"/>
              <w:jc w:val="right"/>
            </w:pPr>
            <w:r>
              <w:rPr>
                <w:b w:val="false"/>
                <w:bCs w:val="false"/>
                <w:color w:val="16181D"/>
                <w:sz w:val="19"/>
                <w:szCs w:val="19"/>
              </w:rPr>
              <w:t xml:space="preserve">61.6%</w:t>
            </w:r>
          </w:p>
        </w:tc>
        <w:tc>
          <w:tcPr>
            <w:tcW w:type="dxa" w:w="1400"/>
            <w:tcMar>
              <w:top w:type="dxa" w:w="95"/>
              <w:left w:type="dxa" w:w="120"/>
              <w:bottom w:type="dxa" w:w="95"/>
              <w:right w:type="dxa" w:w="120"/>
            </w:tcMar>
          </w:tcPr>
          <w:p>
            <w:pPr>
              <w:spacing w:after="0" w:line="255"/>
              <w:jc w:val="right"/>
            </w:pPr>
            <w:r>
              <w:rPr>
                <w:b w:val="false"/>
                <w:bCs w:val="false"/>
                <w:color w:val="155724"/>
                <w:sz w:val="19"/>
                <w:szCs w:val="19"/>
              </w:rPr>
              <w:t xml:space="preserve">+18.8 pts</w:t>
            </w:r>
          </w:p>
        </w:tc>
        <w:tc>
          <w:tcPr>
            <w:tcW w:type="dxa" w:w="1800"/>
            <w:tcMar>
              <w:top w:type="dxa" w:w="95"/>
              <w:left w:type="dxa" w:w="120"/>
              <w:bottom w:type="dxa" w:w="95"/>
              <w:right w:type="dxa" w:w="120"/>
            </w:tcMar>
          </w:tcPr>
          <w:p>
            <w:pPr>
              <w:spacing w:after="0" w:line="255"/>
              <w:jc w:val="right"/>
            </w:pPr>
            <w:r>
              <w:rPr>
                <w:b w:val="false"/>
                <w:bCs w:val="false"/>
                <w:color w:val="16181D"/>
                <w:sz w:val="19"/>
                <w:szCs w:val="19"/>
              </w:rPr>
              <w:t xml:space="preserve">1.51x</w:t>
            </w:r>
          </w:p>
        </w:tc>
      </w:tr>
      <w:tr>
        <w:tc>
          <w:tcPr>
            <w:tcW w:type="dxa" w:w="1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120 days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260</w:t>
            </w:r>
          </w:p>
        </w:tc>
        <w:tc>
          <w:tcPr>
            <w:tcW w:type="dxa" w:w="12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78.1%</w:t>
            </w:r>
          </w:p>
        </w:tc>
        <w:tc>
          <w:tcPr>
            <w:tcW w:type="dxa" w:w="1500"/>
            <w:shd w:fill="FBFAF7" w:color="auto" w:val="clear"/>
            <w:tcMar>
              <w:top w:type="dxa" w:w="95"/>
              <w:left w:type="dxa" w:w="120"/>
              <w:bottom w:type="dxa" w:w="95"/>
              <w:right w:type="dxa" w:w="120"/>
            </w:tcMar>
          </w:tcPr>
          <w:p>
            <w:pPr>
              <w:spacing w:after="0" w:line="255"/>
              <w:jc w:val="center"/>
            </w:pPr>
            <w:r>
              <w:rPr>
                <w:b w:val="false"/>
                <w:bCs w:val="false"/>
                <w:color w:val="16181D"/>
                <w:sz w:val="19"/>
                <w:szCs w:val="19"/>
              </w:rPr>
              <w:t xml:space="preserve">73% - 83%</w:t>
            </w:r>
          </w:p>
        </w:tc>
        <w:tc>
          <w:tcPr>
            <w:tcW w:type="dxa" w:w="164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63.3%</w:t>
            </w:r>
          </w:p>
        </w:tc>
        <w:tc>
          <w:tcPr>
            <w:tcW w:type="dxa" w:w="14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+14.8 pts</w:t>
            </w:r>
          </w:p>
        </w:tc>
        <w:tc>
          <w:tcPr>
            <w:tcW w:type="dxa" w:w="18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1.56x</w:t>
            </w:r>
          </w:p>
        </w:tc>
      </w:tr>
    </w:tbl>
    <w:p>
      <w:pPr>
        <w:spacing w:after="135" w:line="300"/>
      </w:pPr>
      <w:r>
        <w:rPr>
          <w:b w:val="false"/>
          <w:bCs w:val="false"/>
          <w:i w:val="false"/>
          <w:iCs w:val="false"/>
          <w:color w:val="585C66"/>
          <w:sz w:val="18"/>
          <w:szCs w:val="18"/>
        </w:rPr>
        <w:t xml:space="preserve">A "hit" is production's own definition: the recommended SKU sold at least what its own trailing rate implied. The reversion-matched null is the honest comparison, drawn from SKUs with a similar reversion profile, so the edge over it is the part that is not mechanical.</w:t>
      </w:r>
    </w:p>
    <w:p>
      <w:pPr>
        <w:pStyle w:val="Heading2"/>
        <w:spacing w:after="110" w:before="290"/>
      </w:pPr>
      <w:r>
        <w:rPr>
          <w:b/>
          <w:bCs/>
          <w:color w:val="2E4057"/>
          <w:sz w:val="24"/>
          <w:szCs w:val="24"/>
        </w:rPr>
        <w:t xml:space="preserve">Pooled result</w:t>
      </w:r>
    </w:p>
    <w:tbl>
      <w:tblPr>
        <w:tblW w:type="dxa" w:w="9640"/>
        <w:tblBorders>
          <w:top w:val="single" w:color="D2CEC4" w:sz="4"/>
          <w:left w:val="none"/>
          <w:bottom w:val="single" w:color="D2CEC4" w:sz="4"/>
          <w:right w:val="none"/>
          <w:insideH w:val="single" w:color="E8E4DB" w:sz="2"/>
          <w:insideV w:val="none"/>
        </w:tblBorders>
      </w:tblPr>
      <w:tblGrid>
        <w:gridCol w:w="2300"/>
        <w:gridCol w:w="1500"/>
        <w:gridCol w:w="5840"/>
      </w:tblGrid>
      <w:tr>
        <w:trPr>
          <w:tblHeader/>
        </w:trPr>
        <w:tc>
          <w:tcPr>
            <w:tcW w:type="dxa" w:w="2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Measure</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Value</w:t>
            </w:r>
          </w:p>
        </w:tc>
        <w:tc>
          <w:tcPr>
            <w:tcW w:type="dxa" w:w="5840"/>
            <w:shd w:fill="ECE8DE" w:color="auto" w:val="clear"/>
            <w:tcMar>
              <w:top w:type="dxa" w:w="95"/>
              <w:left w:type="dxa" w:w="120"/>
              <w:bottom w:type="dxa" w:w="95"/>
              <w:right w:type="dxa" w:w="120"/>
            </w:tcMar>
          </w:tcPr>
          <w:p>
            <w:pPr>
              <w:spacing w:after="0" w:line="255"/>
              <w:jc w:val="left"/>
            </w:pPr>
            <w:r>
              <w:rPr>
                <w:b/>
                <w:bCs/>
                <w:color w:val="16181D"/>
                <w:sz w:val="19"/>
                <w:szCs w:val="19"/>
              </w:rPr>
              <w:t xml:space="preserve">Reading</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Hit rate</w:t>
            </w:r>
          </w:p>
        </w:tc>
        <w:tc>
          <w:tcPr>
            <w:tcW w:type="dxa" w:w="1500"/>
            <w:tcMar>
              <w:top w:type="dxa" w:w="95"/>
              <w:left w:type="dxa" w:w="120"/>
              <w:bottom w:type="dxa" w:w="95"/>
              <w:right w:type="dxa" w:w="120"/>
            </w:tcMar>
          </w:tcPr>
          <w:p>
            <w:pPr>
              <w:spacing w:after="0" w:line="255"/>
              <w:jc w:val="right"/>
            </w:pPr>
            <w:r>
              <w:rPr>
                <w:b w:val="false"/>
                <w:bCs w:val="false"/>
                <w:color w:val="155724"/>
                <w:sz w:val="19"/>
                <w:szCs w:val="19"/>
              </w:rPr>
              <w:t xml:space="preserve">78.0%</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811 of 1,040 card-rows, which is 260 DECISIONS scored at 4 horizons. Treat 260 as the sample size. Wilson 75.4% to 80.4%</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Date-clustered interval</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72.9% to 82.8%</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The interval to quote. Cards from one morning share a market, so clustering by date is the only honest resampling</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Null, volume-matched</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31.6%</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edge +46.4 points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Null, reversion-matched</w:t>
            </w:r>
          </w:p>
        </w:tc>
        <w:tc>
          <w:tcPr>
            <w:tcW w:type="dxa" w:w="15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59.2%</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55724"/>
                <w:sz w:val="19"/>
                <w:szCs w:val="19"/>
              </w:rPr>
              <w:t xml:space="preserve">edge +18.8 points. The hard null, and the engine clears it</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Percentile vs the hard null</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74.8</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50 would be no skill</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p-value</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0.0005</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2,000 permutation draws against the hard null, so the floor is 1/2,001 = 0.00050. Stated because a reviewer reasonably mistook the 400 null baskets for the permutation count and concluded this figure was impossible.</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Median lift</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1.49x</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The median recommended SKU sold 44% above its trailing rate</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Margin, SUMMED over 4 overlapping horizons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$55,735</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NOT money earned. The same decisions measured over four windows and added together, so the 120-day row dominates purely because its window is longest. Do not quote this as revenue.</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Margin at 30 days (the headline horizon)</w:t>
            </w:r>
          </w:p>
        </w:tc>
        <w:tc>
          <w:tcPr>
            <w:tcW w:type="dxa" w:w="1500"/>
            <w:tcMar>
              <w:top w:type="dxa" w:w="95"/>
              <w:left w:type="dxa" w:w="120"/>
              <w:bottom w:type="dxa" w:w="95"/>
              <w:right w:type="dxa" w:w="120"/>
            </w:tcMar>
          </w:tcPr>
          <w:p>
            <w:pPr>
              <w:spacing w:after="0" w:line="255"/>
              <w:jc w:val="right"/>
            </w:pPr>
            <w:r>
              <w:rPr>
                <w:b w:val="false"/>
                <w:bCs w:val="false"/>
                <w:color w:val="155724"/>
                <w:sz w:val="19"/>
                <w:szCs w:val="19"/>
              </w:rPr>
              <w:t xml:space="preserve">$5,568</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The figure to quote. $21 per card at this horizon.</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Advantage over the hard null</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$33,747</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The null earned $21,988 over the same windows. Also summed over horizons.</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Per card</w:t>
            </w:r>
          </w:p>
        </w:tc>
        <w:tc>
          <w:tcPr>
            <w:tcW w:type="dxa" w:w="1500"/>
            <w:tcMar>
              <w:top w:type="dxa" w:w="95"/>
              <w:left w:type="dxa" w:w="120"/>
              <w:bottom w:type="dxa" w:w="95"/>
              <w:right w:type="dxa" w:w="120"/>
            </w:tcMar>
          </w:tcPr>
          <w:p>
            <w:pPr>
              <w:spacing w:after="0" w:line="255"/>
              <w:jc w:val="right"/>
            </w:pPr>
            <w:r>
              <w:rPr>
                <w:b w:val="false"/>
                <w:bCs w:val="false"/>
                <w:color w:val="155724"/>
                <w:sz w:val="19"/>
                <w:szCs w:val="19"/>
              </w:rPr>
              <w:t xml:space="preserve">$54</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The like-for-like economic figure</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Cards per run</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4.7</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across 220 runs</w:t>
            </w:r>
          </w:p>
        </w:tc>
      </w:tr>
    </w:tbl>
    <w:p>
      <w:pPr>
        <w:pStyle w:val="Heading2"/>
        <w:spacing w:after="110" w:before="290"/>
      </w:pPr>
      <w:r>
        <w:rPr>
          <w:b/>
          <w:bCs/>
          <w:color w:val="2E4057"/>
          <w:sz w:val="24"/>
          <w:szCs w:val="24"/>
        </w:rPr>
        <w:t xml:space="preserve">Against the ordering it replaced</w:t>
      </w:r>
    </w:p>
    <w:tbl>
      <w:tblPr>
        <w:tblW w:type="dxa" w:w="9640"/>
        <w:tblBorders>
          <w:top w:val="single" w:color="D2CEC4" w:sz="4"/>
          <w:left w:val="none"/>
          <w:bottom w:val="single" w:color="D2CEC4" w:sz="4"/>
          <w:right w:val="none"/>
          <w:insideH w:val="single" w:color="E8E4DB" w:sz="2"/>
          <w:insideV w:val="none"/>
        </w:tblBorders>
      </w:tblPr>
      <w:tblGrid>
        <w:gridCol w:w="3600"/>
        <w:gridCol w:w="1300"/>
        <w:gridCol w:w="1400"/>
        <w:gridCol w:w="1600"/>
        <w:gridCol w:w="1740"/>
      </w:tblGrid>
      <w:tr>
        <w:trPr>
          <w:tblHeader/>
        </w:trPr>
        <w:tc>
          <w:tcPr>
            <w:tcW w:type="dxa" w:w="3600"/>
            <w:shd w:fill="ECE8DE" w:color="auto" w:val="clear"/>
            <w:tcMar>
              <w:top w:type="dxa" w:w="95"/>
              <w:left w:type="dxa" w:w="120"/>
              <w:bottom w:type="dxa" w:w="95"/>
              <w:right w:type="dxa" w:w="120"/>
            </w:tcMar>
          </w:tcPr>
          <w:p>
            <w:pPr>
              <w:spacing w:after="0" w:line="255"/>
              <w:jc w:val="left"/>
            </w:pPr>
            <w:r>
              <w:rPr>
                <w:b/>
                <w:bCs/>
                <w:color w:val="16181D"/>
                <w:sz w:val="19"/>
                <w:szCs w:val="19"/>
              </w:rPr>
              <w:t xml:space="preserve">Ordering</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Cards</w:t>
            </w:r>
          </w:p>
        </w:tc>
        <w:tc>
          <w:tcPr>
            <w:tcW w:type="dxa" w:w="14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Hit rate</w:t>
            </w:r>
          </w:p>
        </w:tc>
        <w:tc>
          <w:tcPr>
            <w:tcW w:type="dxa" w:w="16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Per card</w:t>
            </w:r>
          </w:p>
        </w:tc>
        <w:tc>
          <w:tcPr>
            <w:tcW w:type="dxa" w:w="1740"/>
            <w:shd w:fill="ECE8DE" w:color="auto" w:val="clear"/>
            <w:tcMar>
              <w:top w:type="dxa" w:w="95"/>
              <w:left w:type="dxa" w:w="120"/>
              <w:bottom w:type="dxa" w:w="95"/>
              <w:right w:type="dxa" w:w="120"/>
            </w:tcMar>
          </w:tcPr>
          <w:p>
            <w:pPr>
              <w:spacing w:after="0" w:line="255"/>
              <w:jc w:val="right"/>
            </w:pPr>
            <w:r>
              <w:rPr>
                <w:b/>
                <w:bCs/>
                <w:color w:val="16181D"/>
                <w:sz w:val="19"/>
                <w:szCs w:val="19"/>
              </w:rPr>
              <w:t xml:space="preserve">Median size</w:t>
            </w:r>
          </w:p>
        </w:tc>
      </w:tr>
      <w:tr>
        <w:tc>
          <w:tcPr>
            <w:tcW w:type="dxa" w:w="3600"/>
            <w:tcMar>
              <w:top w:type="dxa" w:w="95"/>
              <w:left w:type="dxa" w:w="120"/>
              <w:bottom w:type="dxa" w:w="95"/>
              <w:right w:type="dxa" w:w="120"/>
            </w:tcMar>
          </w:tcPr>
          <w:p>
            <w:pPr>
              <w:spacing w:after="0" w:line="255"/>
              <w:jc w:val="left"/>
            </w:pPr>
            <w:r>
              <w:rPr>
                <w:b w:val="false"/>
                <w:bCs w:val="false"/>
                <w:color w:val="16181D"/>
                <w:sz w:val="19"/>
                <w:szCs w:val="19"/>
              </w:rPr>
              <w:t xml:space="preserve">Current (sheet 20, gated)</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1,040</w:t>
            </w:r>
          </w:p>
        </w:tc>
        <w:tc>
          <w:tcPr>
            <w:tcW w:type="dxa" w:w="1400"/>
            <w:tcMar>
              <w:top w:type="dxa" w:w="95"/>
              <w:left w:type="dxa" w:w="120"/>
              <w:bottom w:type="dxa" w:w="95"/>
              <w:right w:type="dxa" w:w="120"/>
            </w:tcMar>
          </w:tcPr>
          <w:p>
            <w:pPr>
              <w:spacing w:after="0" w:line="255"/>
              <w:jc w:val="right"/>
            </w:pPr>
            <w:r>
              <w:rPr>
                <w:b w:val="false"/>
                <w:bCs w:val="false"/>
                <w:color w:val="155724"/>
                <w:sz w:val="19"/>
                <w:szCs w:val="19"/>
              </w:rPr>
              <w:t xml:space="preserve">78.0%</w:t>
            </w:r>
          </w:p>
        </w:tc>
        <w:tc>
          <w:tcPr>
            <w:tcW w:type="dxa" w:w="1600"/>
            <w:tcMar>
              <w:top w:type="dxa" w:w="95"/>
              <w:left w:type="dxa" w:w="120"/>
              <w:bottom w:type="dxa" w:w="95"/>
              <w:right w:type="dxa" w:w="120"/>
            </w:tcMar>
          </w:tcPr>
          <w:p>
            <w:pPr>
              <w:spacing w:after="0" w:line="255"/>
              <w:jc w:val="right"/>
            </w:pPr>
            <w:r>
              <w:rPr>
                <w:b w:val="false"/>
                <w:bCs w:val="false"/>
                <w:color w:val="155724"/>
                <w:sz w:val="19"/>
                <w:szCs w:val="19"/>
              </w:rPr>
              <w:t xml:space="preserve">$54</w:t>
            </w:r>
          </w:p>
        </w:tc>
        <w:tc>
          <w:tcPr>
            <w:tcW w:type="dxa" w:w="1740"/>
            <w:tcMar>
              <w:top w:type="dxa" w:w="95"/>
              <w:left w:type="dxa" w:w="120"/>
              <w:bottom w:type="dxa" w:w="95"/>
              <w:right w:type="dxa" w:w="120"/>
            </w:tcMar>
          </w:tcPr>
          <w:p>
            <w:pPr>
              <w:spacing w:after="0" w:line="255"/>
              <w:jc w:val="right"/>
            </w:pPr>
            <w:r>
              <w:rPr>
                <w:b w:val="false"/>
                <w:bCs w:val="false"/>
                <w:color w:val="16181D"/>
                <w:sz w:val="19"/>
                <w:szCs w:val="19"/>
              </w:rPr>
              <w:t xml:space="preserve">14 units</w:t>
            </w:r>
          </w:p>
        </w:tc>
      </w:tr>
      <w:tr>
        <w:tc>
          <w:tcPr>
            <w:tcW w:type="dxa" w:w="36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Old (rank on total demand, ungated)</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2,200</w:t>
            </w:r>
          </w:p>
        </w:tc>
        <w:tc>
          <w:tcPr>
            <w:tcW w:type="dxa" w:w="14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31.6%</w:t>
            </w:r>
          </w:p>
        </w:tc>
        <w:tc>
          <w:tcPr>
            <w:tcW w:type="dxa" w:w="160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-$800</w:t>
            </w:r>
          </w:p>
        </w:tc>
        <w:tc>
          <w:tcPr>
            <w:tcW w:type="dxa" w:w="174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36 units</w:t>
            </w:r>
          </w:p>
        </w:tc>
      </w:tr>
    </w:tbl>
    <w:p>
      <w:pPr>
        <w:spacing w:after="135" w:line="300"/>
      </w:pPr>
      <w:r>
        <w:rPr>
          <w:b w:val="false"/>
          <w:bCs w:val="false"/>
          <w:i w:val="false"/>
          <w:iCs w:val="false"/>
          <w:color w:val="585C66"/>
          <w:sz w:val="18"/>
          <w:szCs w:val="18"/>
        </w:rPr>
        <w:t xml:space="preserve">Totals are not comparable across the two, because they issue very different numbers of cards. Per card is the figure that is.</w:t>
      </w:r>
    </w:p>
    <w:p>
      <w:pPr>
        <w:pStyle w:val="Heading1"/>
        <w:pBdr>
          <w:bottom w:val="single" w:color="D2CEC4" w:sz="6" w:space="6"/>
        </w:pBdr>
        <w:spacing w:after="150" w:before="380"/>
      </w:pPr>
      <w:r>
        <w:rPr>
          <w:b/>
          <w:bCs/>
          <w:color w:val="16181D"/>
          <w:sz w:val="29"/>
          <w:szCs w:val="29"/>
        </w:rPr>
        <w:t xml:space="preserve">2. Forecast accuracy (R10)</w:t>
      </w:r>
    </w:p>
    <w:p>
      <w:pPr>
        <w:spacing w:after="135" w:line="300"/>
      </w:pPr>
      <w:r>
        <w:rPr>
          <w:b w:val="false"/>
          <w:bCs w:val="false"/>
          <w:i w:val="false"/>
          <w:iCs w:val="false"/>
          <w:color w:val="16181D"/>
          <w:sz w:val="21"/>
          <w:szCs w:val="21"/>
        </w:rPr>
        <w:t xml:space="preserve">A different question from the hit rate: when the engine says "expect N units over the next H days", how wrong is N? Measured over 42 scored dates (13 earlier dates calibrated the interval and are excluded), 8,231 forecasts per horizon.</w:t>
      </w:r>
    </w:p>
    <w:tbl>
      <w:tblPr>
        <w:tblW w:type="dxa" w:w="9640"/>
        <w:tblBorders>
          <w:top w:val="single" w:color="D2CEC4" w:sz="4"/>
          <w:left w:val="none"/>
          <w:bottom w:val="single" w:color="D2CEC4" w:sz="4"/>
          <w:right w:val="none"/>
          <w:insideH w:val="single" w:color="E8E4DB" w:sz="2"/>
          <w:insideV w:val="none"/>
        </w:tblBorders>
      </w:tblPr>
      <w:tblGrid>
        <w:gridCol w:w="1150"/>
        <w:gridCol w:w="1150"/>
        <w:gridCol w:w="1400"/>
        <w:gridCol w:w="1250"/>
        <w:gridCol w:w="1500"/>
        <w:gridCol w:w="1300"/>
        <w:gridCol w:w="1890"/>
      </w:tblGrid>
      <w:tr>
        <w:trPr>
          <w:tblHeader/>
        </w:trPr>
        <w:tc>
          <w:tcPr>
            <w:tcW w:type="dxa" w:w="1150"/>
            <w:shd w:fill="ECE8DE" w:color="auto" w:val="clear"/>
            <w:tcMar>
              <w:top w:type="dxa" w:w="95"/>
              <w:left w:type="dxa" w:w="120"/>
              <w:bottom w:type="dxa" w:w="95"/>
              <w:right w:type="dxa" w:w="120"/>
            </w:tcMar>
          </w:tcPr>
          <w:p>
            <w:pPr>
              <w:spacing w:after="0" w:line="255"/>
              <w:jc w:val="left"/>
            </w:pPr>
            <w:r>
              <w:rPr>
                <w:b/>
                <w:bCs/>
                <w:color w:val="16181D"/>
                <w:sz w:val="19"/>
                <w:szCs w:val="19"/>
              </w:rPr>
              <w:t xml:space="preserve">Horizon</w:t>
            </w:r>
          </w:p>
        </w:tc>
        <w:tc>
          <w:tcPr>
            <w:tcW w:type="dxa" w:w="115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w:t>
            </w:r>
          </w:p>
        </w:tc>
        <w:tc>
          <w:tcPr>
            <w:tcW w:type="dxa" w:w="14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Trailing-28</w:t>
            </w:r>
          </w:p>
        </w:tc>
        <w:tc>
          <w:tcPr>
            <w:tcW w:type="dxa" w:w="1250"/>
            <w:shd w:fill="ECE8DE" w:color="auto" w:val="clear"/>
            <w:tcMar>
              <w:top w:type="dxa" w:w="95"/>
              <w:left w:type="dxa" w:w="120"/>
              <w:bottom w:type="dxa" w:w="95"/>
              <w:right w:type="dxa" w:w="120"/>
            </w:tcMar>
          </w:tcPr>
          <w:p>
            <w:pPr>
              <w:spacing w:after="0" w:line="255"/>
              <w:jc w:val="right"/>
            </w:pPr>
            <w:r>
              <w:rPr>
                <w:b/>
                <w:bCs/>
                <w:color w:val="16181D"/>
                <w:sz w:val="19"/>
                <w:szCs w:val="19"/>
              </w:rPr>
              <w:t xml:space="preserve">Last year</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Year average</w:t>
            </w:r>
          </w:p>
        </w:tc>
        <w:tc>
          <w:tcPr>
            <w:tcW w:type="dxa" w:w="13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Engine bias</w:t>
            </w:r>
          </w:p>
        </w:tc>
        <w:tc>
          <w:tcPr>
            <w:tcW w:type="dxa" w:w="1890"/>
            <w:shd w:fill="ECE8DE" w:color="auto" w:val="clear"/>
            <w:tcMar>
              <w:top w:type="dxa" w:w="95"/>
              <w:left w:type="dxa" w:w="120"/>
              <w:bottom w:type="dxa" w:w="95"/>
              <w:right w:type="dxa" w:w="120"/>
            </w:tcMar>
          </w:tcPr>
          <w:p>
            <w:pPr>
              <w:spacing w:after="0" w:line="255"/>
              <w:jc w:val="right"/>
            </w:pPr>
            <w:r>
              <w:rPr>
                <w:b/>
                <w:bCs/>
                <w:color w:val="16181D"/>
                <w:sz w:val="19"/>
                <w:szCs w:val="19"/>
              </w:rPr>
              <w:t xml:space="preserve">Interval coverage</w:t>
            </w:r>
          </w:p>
        </w:tc>
      </w:tr>
      <w:tr>
        <w:tc>
          <w:tcPr>
            <w:tcW w:type="dxa" w:w="1150"/>
            <w:tcMar>
              <w:top w:type="dxa" w:w="95"/>
              <w:left w:type="dxa" w:w="120"/>
              <w:bottom w:type="dxa" w:w="95"/>
              <w:right w:type="dxa" w:w="120"/>
            </w:tcMar>
          </w:tcPr>
          <w:p>
            <w:pPr>
              <w:spacing w:after="0" w:line="255"/>
              <w:jc w:val="left"/>
            </w:pPr>
            <w:r>
              <w:rPr>
                <w:b w:val="false"/>
                <w:bCs w:val="false"/>
                <w:color w:val="16181D"/>
                <w:sz w:val="19"/>
                <w:szCs w:val="19"/>
              </w:rPr>
              <w:t xml:space="preserve">30 days</w:t>
            </w:r>
          </w:p>
        </w:tc>
        <w:tc>
          <w:tcPr>
            <w:tcW w:type="dxa" w:w="1150"/>
            <w:tcMar>
              <w:top w:type="dxa" w:w="95"/>
              <w:left w:type="dxa" w:w="120"/>
              <w:bottom w:type="dxa" w:w="95"/>
              <w:right w:type="dxa" w:w="120"/>
            </w:tcMar>
          </w:tcPr>
          <w:p>
            <w:pPr>
              <w:spacing w:after="0" w:line="255"/>
              <w:jc w:val="right"/>
            </w:pPr>
            <w:r>
              <w:rPr>
                <w:b w:val="false"/>
                <w:bCs w:val="false"/>
                <w:color w:val="155724"/>
                <w:sz w:val="19"/>
                <w:szCs w:val="19"/>
              </w:rPr>
              <w:t xml:space="preserve">42.39</w:t>
            </w:r>
          </w:p>
        </w:tc>
        <w:tc>
          <w:tcPr>
            <w:tcW w:type="dxa" w:w="1400"/>
            <w:tcMar>
              <w:top w:type="dxa" w:w="95"/>
              <w:left w:type="dxa" w:w="120"/>
              <w:bottom w:type="dxa" w:w="95"/>
              <w:right w:type="dxa" w:w="120"/>
            </w:tcMar>
          </w:tcPr>
          <w:p>
            <w:pPr>
              <w:spacing w:after="0" w:line="255"/>
              <w:jc w:val="right"/>
            </w:pPr>
            <w:r>
              <w:rPr>
                <w:b w:val="false"/>
                <w:bCs w:val="false"/>
                <w:color w:val="16181D"/>
                <w:sz w:val="19"/>
                <w:szCs w:val="19"/>
              </w:rPr>
              <w:t xml:space="preserve">52.15</w:t>
            </w:r>
          </w:p>
        </w:tc>
        <w:tc>
          <w:tcPr>
            <w:tcW w:type="dxa" w:w="1250"/>
            <w:tcMar>
              <w:top w:type="dxa" w:w="95"/>
              <w:left w:type="dxa" w:w="120"/>
              <w:bottom w:type="dxa" w:w="95"/>
              <w:right w:type="dxa" w:w="120"/>
            </w:tcMar>
          </w:tcPr>
          <w:p>
            <w:pPr>
              <w:spacing w:after="0" w:line="255"/>
              <w:jc w:val="right"/>
            </w:pPr>
            <w:r>
              <w:rPr>
                <w:b w:val="false"/>
                <w:bCs w:val="false"/>
                <w:color w:val="16181D"/>
                <w:sz w:val="19"/>
                <w:szCs w:val="19"/>
              </w:rPr>
              <w:t xml:space="preserve">69.04</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47.68</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1.81%</w:t>
            </w:r>
          </w:p>
        </w:tc>
        <w:tc>
          <w:tcPr>
            <w:tcW w:type="dxa" w:w="1890"/>
            <w:tcMar>
              <w:top w:type="dxa" w:w="95"/>
              <w:left w:type="dxa" w:w="120"/>
              <w:bottom w:type="dxa" w:w="95"/>
              <w:right w:type="dxa" w:w="120"/>
            </w:tcMar>
          </w:tcPr>
          <w:p>
            <w:pPr>
              <w:spacing w:after="0" w:line="255"/>
              <w:jc w:val="right"/>
            </w:pPr>
            <w:r>
              <w:rPr>
                <w:b w:val="false"/>
                <w:bCs w:val="false"/>
                <w:color w:val="155724"/>
                <w:sz w:val="19"/>
                <w:szCs w:val="19"/>
              </w:rPr>
              <w:t xml:space="preserve">80.9%</w:t>
            </w:r>
          </w:p>
        </w:tc>
      </w:tr>
      <w:tr>
        <w:tc>
          <w:tcPr>
            <w:tcW w:type="dxa" w:w="115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60 days</w:t>
            </w:r>
          </w:p>
        </w:tc>
        <w:tc>
          <w:tcPr>
            <w:tcW w:type="dxa" w:w="115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39.66</w:t>
            </w:r>
          </w:p>
        </w:tc>
        <w:tc>
          <w:tcPr>
            <w:tcW w:type="dxa" w:w="14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52.28</w:t>
            </w:r>
          </w:p>
        </w:tc>
        <w:tc>
          <w:tcPr>
            <w:tcW w:type="dxa" w:w="125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62.86</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44.34</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4.49%</w:t>
            </w:r>
          </w:p>
        </w:tc>
        <w:tc>
          <w:tcPr>
            <w:tcW w:type="dxa" w:w="189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80.3%</w:t>
            </w:r>
          </w:p>
        </w:tc>
      </w:tr>
      <w:tr>
        <w:tc>
          <w:tcPr>
            <w:tcW w:type="dxa" w:w="1150"/>
            <w:tcMar>
              <w:top w:type="dxa" w:w="95"/>
              <w:left w:type="dxa" w:w="120"/>
              <w:bottom w:type="dxa" w:w="95"/>
              <w:right w:type="dxa" w:w="120"/>
            </w:tcMar>
          </w:tcPr>
          <w:p>
            <w:pPr>
              <w:spacing w:after="0" w:line="255"/>
              <w:jc w:val="left"/>
            </w:pPr>
            <w:r>
              <w:rPr>
                <w:b w:val="false"/>
                <w:bCs w:val="false"/>
                <w:color w:val="16181D"/>
                <w:sz w:val="19"/>
                <w:szCs w:val="19"/>
              </w:rPr>
              <w:t xml:space="preserve">90 days</w:t>
            </w:r>
          </w:p>
        </w:tc>
        <w:tc>
          <w:tcPr>
            <w:tcW w:type="dxa" w:w="1150"/>
            <w:tcMar>
              <w:top w:type="dxa" w:w="95"/>
              <w:left w:type="dxa" w:w="120"/>
              <w:bottom w:type="dxa" w:w="95"/>
              <w:right w:type="dxa" w:w="120"/>
            </w:tcMar>
          </w:tcPr>
          <w:p>
            <w:pPr>
              <w:spacing w:after="0" w:line="255"/>
              <w:jc w:val="right"/>
            </w:pPr>
            <w:r>
              <w:rPr>
                <w:b w:val="false"/>
                <w:bCs w:val="false"/>
                <w:color w:val="155724"/>
                <w:sz w:val="19"/>
                <w:szCs w:val="19"/>
              </w:rPr>
              <w:t xml:space="preserve">39.55</w:t>
            </w:r>
          </w:p>
        </w:tc>
        <w:tc>
          <w:tcPr>
            <w:tcW w:type="dxa" w:w="1400"/>
            <w:tcMar>
              <w:top w:type="dxa" w:w="95"/>
              <w:left w:type="dxa" w:w="120"/>
              <w:bottom w:type="dxa" w:w="95"/>
              <w:right w:type="dxa" w:w="120"/>
            </w:tcMar>
          </w:tcPr>
          <w:p>
            <w:pPr>
              <w:spacing w:after="0" w:line="255"/>
              <w:jc w:val="right"/>
            </w:pPr>
            <w:r>
              <w:rPr>
                <w:b w:val="false"/>
                <w:bCs w:val="false"/>
                <w:color w:val="16181D"/>
                <w:sz w:val="19"/>
                <w:szCs w:val="19"/>
              </w:rPr>
              <w:t xml:space="preserve">54.18</w:t>
            </w:r>
          </w:p>
        </w:tc>
        <w:tc>
          <w:tcPr>
            <w:tcW w:type="dxa" w:w="1250"/>
            <w:tcMar>
              <w:top w:type="dxa" w:w="95"/>
              <w:left w:type="dxa" w:w="120"/>
              <w:bottom w:type="dxa" w:w="95"/>
              <w:right w:type="dxa" w:w="120"/>
            </w:tcMar>
          </w:tcPr>
          <w:p>
            <w:pPr>
              <w:spacing w:after="0" w:line="255"/>
              <w:jc w:val="right"/>
            </w:pPr>
            <w:r>
              <w:rPr>
                <w:b w:val="false"/>
                <w:bCs w:val="false"/>
                <w:color w:val="16181D"/>
                <w:sz w:val="19"/>
                <w:szCs w:val="19"/>
              </w:rPr>
              <w:t xml:space="preserve">59.68</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43.34</w:t>
            </w:r>
          </w:p>
        </w:tc>
        <w:tc>
          <w:tcPr>
            <w:tcW w:type="dxa" w:w="1300"/>
            <w:tcMar>
              <w:top w:type="dxa" w:w="95"/>
              <w:left w:type="dxa" w:w="120"/>
              <w:bottom w:type="dxa" w:w="95"/>
              <w:right w:type="dxa" w:w="120"/>
            </w:tcMar>
          </w:tcPr>
          <w:p>
            <w:pPr>
              <w:spacing w:after="0" w:line="255"/>
              <w:jc w:val="right"/>
            </w:pPr>
            <w:r>
              <w:rPr>
                <w:b w:val="false"/>
                <w:bCs w:val="false"/>
                <w:color w:val="16181D"/>
                <w:sz w:val="19"/>
                <w:szCs w:val="19"/>
              </w:rPr>
              <w:t xml:space="preserve">7.09%</w:t>
            </w:r>
          </w:p>
        </w:tc>
        <w:tc>
          <w:tcPr>
            <w:tcW w:type="dxa" w:w="1890"/>
            <w:tcMar>
              <w:top w:type="dxa" w:w="95"/>
              <w:left w:type="dxa" w:w="120"/>
              <w:bottom w:type="dxa" w:w="95"/>
              <w:right w:type="dxa" w:w="120"/>
            </w:tcMar>
          </w:tcPr>
          <w:p>
            <w:pPr>
              <w:spacing w:after="0" w:line="255"/>
              <w:jc w:val="right"/>
            </w:pPr>
            <w:r>
              <w:rPr>
                <w:b w:val="false"/>
                <w:bCs w:val="false"/>
                <w:color w:val="155724"/>
                <w:sz w:val="19"/>
                <w:szCs w:val="19"/>
              </w:rPr>
              <w:t xml:space="preserve">80.1%</w:t>
            </w:r>
          </w:p>
        </w:tc>
      </w:tr>
      <w:tr>
        <w:tc>
          <w:tcPr>
            <w:tcW w:type="dxa" w:w="115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120 days</w:t>
            </w:r>
          </w:p>
        </w:tc>
        <w:tc>
          <w:tcPr>
            <w:tcW w:type="dxa" w:w="115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40.05</w:t>
            </w:r>
          </w:p>
        </w:tc>
        <w:tc>
          <w:tcPr>
            <w:tcW w:type="dxa" w:w="14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55.85</w:t>
            </w:r>
          </w:p>
        </w:tc>
        <w:tc>
          <w:tcPr>
            <w:tcW w:type="dxa" w:w="125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57.56</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43.06</w:t>
            </w:r>
          </w:p>
        </w:tc>
        <w:tc>
          <w:tcPr>
            <w:tcW w:type="dxa" w:w="13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9.20%</w:t>
            </w:r>
          </w:p>
        </w:tc>
        <w:tc>
          <w:tcPr>
            <w:tcW w:type="dxa" w:w="189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81.0%</w:t>
            </w:r>
          </w:p>
        </w:tc>
      </w:tr>
    </w:tbl>
    <w:p>
      <w:pPr>
        <w:spacing w:after="135" w:line="300"/>
      </w:pPr>
      <w:r>
        <w:rPr>
          <w:b w:val="false"/>
          <w:bCs w:val="false"/>
          <w:i w:val="false"/>
          <w:iCs w:val="false"/>
          <w:color w:val="16181D"/>
          <w:sz w:val="21"/>
          <w:szCs w:val="21"/>
        </w:rPr>
        <w:t xml:space="preserve">WAPE on units, lower is better. All three baselines are real at this store, which matters: a store with under a year of history cannot support "last year" or a genuine "year average" at all, and at those stores no "beats 3 of 3" claim can be made. Here it can.</w:t>
      </w:r>
    </w:p>
    <w:p>
      <w:pPr>
        <w:pStyle w:val="ListParagraph"/>
        <w:numPr>
          <w:ilvl w:val="0"/>
          <w:numId w:val="2"/>
        </w:numPr>
        <w:spacing w:after="95" w:line="300"/>
      </w:pPr>
      <w:r>
        <w:rPr>
          <w:b/>
          <w:bCs/>
          <w:color w:val="16181D"/>
          <w:sz w:val="21"/>
          <w:szCs w:val="21"/>
        </w:rPr>
        <w:t xml:space="preserve">The engine is the best of five models at every horizon, beating all three baselines each time.</w:t>
      </w:r>
    </w:p>
    <w:p>
      <w:pPr>
        <w:pStyle w:val="ListParagraph"/>
        <w:numPr>
          <w:ilvl w:val="0"/>
          <w:numId w:val="2"/>
        </w:numPr>
        <w:spacing w:after="95" w:line="300"/>
      </w:pPr>
      <w:r>
        <w:rPr>
          <w:b w:val="false"/>
          <w:bCs w:val="false"/>
          <w:color w:val="16181D"/>
          <w:sz w:val="21"/>
          <w:szCs w:val="21"/>
        </w:rPr>
        <w:t xml:space="preserve">Interval coverage runs 80.9%, 80.3%, 80.1%, 81.0% against an 80% target, so the stated range means what it says to within a point.</w:t>
      </w:r>
    </w:p>
    <w:p>
      <w:pPr>
        <w:pStyle w:val="ListParagraph"/>
        <w:numPr>
          <w:ilvl w:val="0"/>
          <w:numId w:val="2"/>
        </w:numPr>
        <w:spacing w:after="95" w:line="300"/>
      </w:pPr>
      <w:r>
        <w:rPr>
          <w:b w:val="false"/>
          <w:bCs w:val="false"/>
          <w:color w:val="16181D"/>
          <w:sz w:val="21"/>
          <w:szCs w:val="21"/>
        </w:rPr>
        <w:t xml:space="preserve">Bias grows with the horizon, from 1.8% at 30 days to 9.2% at 120. The engine over-forecasts further out, which is the direction that ties up capital rather than missing sales.</w:t>
      </w:r>
    </w:p>
    <w:p>
      <w:pPr>
        <w:pStyle w:val="ListParagraph"/>
        <w:numPr>
          <w:ilvl w:val="0"/>
          <w:numId w:val="2"/>
        </w:numPr>
        <w:spacing w:after="95" w:line="300"/>
      </w:pPr>
      <w:r>
        <w:rPr>
          <w:b w:val="false"/>
          <w:bCs w:val="false"/>
          <w:color w:val="16181D"/>
          <w:sz w:val="21"/>
          <w:szCs w:val="21"/>
        </w:rPr>
        <w:t xml:space="preserve">The seasonal candidate was REJECTED: it beat the shipped model at 0 of 4 horizons. The day-of-week signal is real but the layer built on it does not pay for itself here.</w:t>
      </w:r>
    </w:p>
    <w:p>
      <w:pPr>
        <w:pStyle w:val="Heading1"/>
        <w:pBdr>
          <w:bottom w:val="single" w:color="D2CEC4" w:sz="6" w:space="6"/>
        </w:pBdr>
        <w:spacing w:after="150" w:before="380"/>
      </w:pPr>
      <w:r>
        <w:rPr>
          <w:b/>
          <w:bCs/>
          <w:color w:val="16181D"/>
          <w:sz w:val="29"/>
          <w:szCs w:val="29"/>
        </w:rPr>
        <w:t xml:space="preserve">3. Forward test</w:t>
      </w:r>
    </w:p>
    <w:p>
      <w:pPr>
        <w:spacing w:after="135" w:line="300"/>
      </w:pPr>
      <w:r>
        <w:rPr>
          <w:b w:val="false"/>
          <w:bCs w:val="false"/>
          <w:i w:val="false"/>
          <w:iCs w:val="false"/>
          <w:color w:val="16181D"/>
          <w:sz w:val="21"/>
          <w:szCs w:val="21"/>
        </w:rPr>
        <w:t xml:space="preserve">The complement to the backtest: cards the engine really issued, scored against the units that really sold, assuming each was accepted in full. Demand is observed throughout; only the inventory trajectory is simulated.</w:t>
      </w:r>
    </w:p>
    <w:tbl>
      <w:tblPr>
        <w:tblW w:type="dxa" w:w="9640"/>
        <w:tblBorders>
          <w:top w:val="single" w:color="D2CEC4" w:sz="2"/>
          <w:left w:val="single" w:color="8A4B08" w:sz="14"/>
          <w:bottom w:val="single" w:color="D2CEC4" w:sz="2"/>
          <w:right w:val="single" w:color="D2CEC4" w:sz="2"/>
          <w:insideH w:val="none"/>
          <w:insideV w:val="none"/>
        </w:tblBorders>
      </w:tblPr>
      <w:tblGrid>
        <w:gridCol w:w="9640"/>
      </w:tblGrid>
      <w:tr>
        <w:tc>
          <w:tcPr>
            <w:tcW w:type="dxa" w:w="9640"/>
            <w:shd w:fill="FBF0E4" w:color="auto" w:val="clear"/>
            <w:tcMar>
              <w:top w:type="dxa" w:w="180"/>
              <w:left w:type="dxa" w:w="210"/>
              <w:bottom w:type="dxa" w:w="180"/>
              <w:right w:type="dxa" w:w="210"/>
            </w:tcMar>
          </w:tcPr>
          <w:p>
            <w:pPr>
              <w:spacing w:after="105" w:line="300"/>
            </w:pPr>
            <w:r>
              <w:rPr>
                <w:b/>
                <w:bCs/>
                <w:color w:val="8A4B08"/>
                <w:sz w:val="21"/>
                <w:szCs w:val="21"/>
              </w:rPr>
              <w:t xml:space="preserve">A 30, 60 or 90 open-day forward window cannot be reported yet, and will not be for some weeks.</w:t>
            </w:r>
          </w:p>
          <w:p>
            <w:pPr>
              <w:spacing w:after="0" w:line="300"/>
            </w:pPr>
            <w:r>
              <w:rPr>
                <w:b w:val="false"/>
                <w:bCs w:val="false"/>
                <w:color w:val="16181D"/>
                <w:sz w:val="21"/>
                <w:szCs w:val="21"/>
              </w:rPr>
              <w:t xml:space="preserve">The first card at this store was issued on 2026-09-23. At a 30-open-day window, 0 of 204 cards have a closed outcome; at 7 open days, 175 do. Reporting the 7-day figure as a 30-day result would be the single easiest way to mislead with this test, so it is not done.</w:t>
            </w:r>
          </w:p>
        </w:tc>
      </w:tr>
    </w:tbl>
    <w:p>
      <w:pPr>
        <w:pStyle w:val="Heading2"/>
        <w:spacing w:after="110" w:before="290"/>
      </w:pPr>
      <w:r>
        <w:rPr>
          <w:b/>
          <w:bCs/>
          <w:color w:val="2E4057"/>
          <w:sz w:val="24"/>
          <w:szCs w:val="24"/>
        </w:rPr>
        <w:t xml:space="preserve">What the 175 closed 7-day windows show</w:t>
      </w:r>
    </w:p>
    <w:tbl>
      <w:tblPr>
        <w:tblW w:type="dxa" w:w="9640"/>
        <w:tblBorders>
          <w:top w:val="single" w:color="D2CEC4" w:sz="4"/>
          <w:left w:val="none"/>
          <w:bottom w:val="single" w:color="D2CEC4" w:sz="4"/>
          <w:right w:val="none"/>
          <w:insideH w:val="single" w:color="E8E4DB" w:sz="2"/>
          <w:insideV w:val="none"/>
        </w:tblBorders>
      </w:tblPr>
      <w:tblGrid>
        <w:gridCol w:w="2300"/>
        <w:gridCol w:w="1500"/>
        <w:gridCol w:w="5840"/>
      </w:tblGrid>
      <w:tr>
        <w:trPr>
          <w:tblHeader/>
        </w:trPr>
        <w:tc>
          <w:tcPr>
            <w:tcW w:type="dxa" w:w="2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Measure</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Value</w:t>
            </w:r>
          </w:p>
        </w:tc>
        <w:tc>
          <w:tcPr>
            <w:tcW w:type="dxa" w:w="5840"/>
            <w:shd w:fill="ECE8DE" w:color="auto" w:val="clear"/>
            <w:tcMar>
              <w:top w:type="dxa" w:w="95"/>
              <w:left w:type="dxa" w:w="120"/>
              <w:bottom w:type="dxa" w:w="95"/>
              <w:right w:type="dxa" w:w="120"/>
            </w:tcMar>
          </w:tcPr>
          <w:p>
            <w:pPr>
              <w:spacing w:after="0" w:line="255"/>
              <w:jc w:val="left"/>
            </w:pPr>
            <w:r>
              <w:rPr>
                <w:b/>
                <w:bCs/>
                <w:color w:val="16181D"/>
                <w:sz w:val="19"/>
                <w:szCs w:val="19"/>
              </w:rPr>
              <w:t xml:space="preserve">Reading</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Cards scored</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175</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29 still pending</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Met the forecast rate</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26.0%</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95% CI 20 to 33</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Median velocity ratio</w:t>
            </w:r>
          </w:p>
        </w:tc>
        <w:tc>
          <w:tcPr>
            <w:tcW w:type="dxa" w:w="1500"/>
            <w:tcMar>
              <w:top w:type="dxa" w:w="95"/>
              <w:left w:type="dxa" w:w="120"/>
              <w:bottom w:type="dxa" w:w="95"/>
              <w:right w:type="dxa" w:w="120"/>
            </w:tcMar>
          </w:tcPr>
          <w:p>
            <w:pPr>
              <w:spacing w:after="0" w:line="255"/>
              <w:jc w:val="right"/>
            </w:pPr>
            <w:r>
              <w:rPr>
                <w:b w:val="false"/>
                <w:bCs w:val="false"/>
                <w:color w:val="8A4B08"/>
                <w:sz w:val="19"/>
                <w:szCs w:val="19"/>
              </w:rPr>
              <w:t xml:space="preserve">0.299</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Sold against the rate predicted. See the caveat below before reading this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Turnover efficiency</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0.251</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499 units sold of 1,988 recommended</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Realised margin</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$4,328</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on units that moved</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Holding cost</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$656</w:t>
            </w:r>
          </w:p>
        </w:tc>
        <w:tc>
          <w:tcPr>
            <w:tcW w:type="dxa" w:w="58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seven open days of capital only</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Net impact</w:t>
            </w:r>
          </w:p>
        </w:tc>
        <w:tc>
          <w:tcPr>
            <w:tcW w:type="dxa" w:w="1500"/>
            <w:tcMar>
              <w:top w:type="dxa" w:w="95"/>
              <w:left w:type="dxa" w:w="120"/>
              <w:bottom w:type="dxa" w:w="95"/>
              <w:right w:type="dxa" w:w="120"/>
            </w:tcMar>
          </w:tcPr>
          <w:p>
            <w:pPr>
              <w:spacing w:after="0" w:line="255"/>
              <w:jc w:val="right"/>
            </w:pPr>
            <w:r>
              <w:rPr>
                <w:b w:val="false"/>
                <w:bCs w:val="false"/>
                <w:color w:val="155724"/>
                <w:sz w:val="19"/>
                <w:szCs w:val="19"/>
              </w:rPr>
              <w:t xml:space="preserve">$3,672</w:t>
            </w:r>
          </w:p>
        </w:tc>
        <w:tc>
          <w:tcPr>
            <w:tcW w:type="dxa" w:w="5840"/>
            <w:tcMar>
              <w:top w:type="dxa" w:w="95"/>
              <w:left w:type="dxa" w:w="120"/>
              <w:bottom w:type="dxa" w:w="95"/>
              <w:right w:type="dxa" w:w="120"/>
            </w:tcMar>
          </w:tcPr>
          <w:p>
            <w:pPr>
              <w:spacing w:after="0" w:line="255"/>
              <w:jc w:val="left"/>
            </w:pPr>
            <w:r>
              <w:rPr>
                <w:b w:val="false"/>
                <w:bCs w:val="false"/>
                <w:color w:val="16181D"/>
                <w:sz w:val="19"/>
                <w:szCs w:val="19"/>
              </w:rPr>
              <w:t xml:space="preserve">Positive, but over seven days of holding, so not a return</w:t>
            </w:r>
          </w:p>
        </w:tc>
      </w:tr>
    </w:tbl>
    <w:p>
      <w:pPr>
        <w:pStyle w:val="Heading2"/>
        <w:spacing w:after="110" w:before="290"/>
      </w:pPr>
      <w:r>
        <w:rPr>
          <w:b/>
          <w:bCs/>
          <w:color w:val="2E4057"/>
          <w:sz w:val="24"/>
          <w:szCs w:val="24"/>
        </w:rPr>
        <w:t xml:space="preserve">Why the velocity figure must not be read as over-forecasting</w:t>
      </w:r>
    </w:p>
    <w:p>
      <w:pPr>
        <w:spacing w:after="135" w:line="300"/>
      </w:pPr>
      <w:r>
        <w:rPr>
          <w:b w:val="false"/>
          <w:bCs w:val="false"/>
          <w:i w:val="false"/>
          <w:iCs w:val="false"/>
          <w:color w:val="16181D"/>
          <w:sz w:val="21"/>
          <w:szCs w:val="21"/>
        </w:rPr>
        <w:t xml:space="preserve">Median expected volume over a 7-open-day window is 3.19 units, and 47% of cards expect fewer than three. A SKU expected to sell 2.2 units either sells 0, 1, 2 or 3, so the ratio is coarse and its median is dragged down by arithmetic rather than by error.</w:t>
      </w:r>
    </w:p>
    <w:p>
      <w:pPr>
        <w:spacing w:after="135" w:line="300"/>
      </w:pPr>
      <w:r>
        <w:rPr>
          <w:b/>
          <w:bCs/>
          <w:color w:val="16181D"/>
          <w:sz w:val="21"/>
          <w:szCs w:val="21"/>
        </w:rPr>
        <w:t xml:space="preserve">Among the cards with enough expected volume to measure - 11 cards expecting five units or more - the median velocity ratio is 0.922. </w:t>
      </w:r>
      <w:r>
        <w:rPr>
          <w:color w:val="16181D"/>
          <w:sz w:val="21"/>
          <w:szCs w:val="21"/>
        </w:rPr>
        <w:t xml:space="preserve">Essentially on target. So the low pooled figure is a short-window artifact, and the backtest, which has the volume per window to measure properly, is the one to believe on forecast quality.</w:t>
      </w:r>
    </w:p>
    <w:p>
      <w:pPr>
        <w:pStyle w:val="Heading1"/>
        <w:pBdr>
          <w:bottom w:val="single" w:color="D2CEC4" w:sz="6" w:space="6"/>
        </w:pBdr>
        <w:spacing w:after="150" w:before="380"/>
      </w:pPr>
      <w:r>
        <w:rPr>
          <w:b/>
          <w:bCs/>
          <w:color w:val="16181D"/>
          <w:sz w:val="29"/>
          <w:szCs w:val="29"/>
        </w:rPr>
        <w:t xml:space="preserve">4. The confidence number on a card does not track outcomes</w:t>
      </w:r>
    </w:p>
    <w:p>
      <w:pPr>
        <w:spacing w:after="135" w:line="300"/>
      </w:pPr>
      <w:r>
        <w:rPr>
          <w:b w:val="false"/>
          <w:bCs w:val="false"/>
          <w:i w:val="false"/>
          <w:iCs w:val="false"/>
          <w:color w:val="16181D"/>
          <w:sz w:val="21"/>
          <w:szCs w:val="21"/>
        </w:rPr>
        <w:t xml:space="preserve">This is the clearest actionable defect found at this store, and it is independent of history length.</w:t>
      </w:r>
    </w:p>
    <w:tbl>
      <w:tblPr>
        <w:tblW w:type="dxa" w:w="9640"/>
        <w:tblBorders>
          <w:top w:val="single" w:color="D2CEC4" w:sz="4"/>
          <w:left w:val="none"/>
          <w:bottom w:val="single" w:color="D2CEC4" w:sz="4"/>
          <w:right w:val="none"/>
          <w:insideH w:val="single" w:color="E8E4DB" w:sz="2"/>
          <w:insideV w:val="none"/>
        </w:tblBorders>
      </w:tblPr>
      <w:tblGrid>
        <w:gridCol w:w="2100"/>
        <w:gridCol w:w="1100"/>
        <w:gridCol w:w="2200"/>
        <w:gridCol w:w="2000"/>
        <w:gridCol w:w="2240"/>
      </w:tblGrid>
      <w:tr>
        <w:trPr>
          <w:tblHeader/>
        </w:trPr>
        <w:tc>
          <w:tcPr>
            <w:tcW w:type="dxa" w:w="2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Stated confidence</w:t>
            </w:r>
          </w:p>
        </w:tc>
        <w:tc>
          <w:tcPr>
            <w:tcW w:type="dxa" w:w="11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Cards</w:t>
            </w:r>
          </w:p>
        </w:tc>
        <w:tc>
          <w:tcPr>
            <w:tcW w:type="dxa" w:w="22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Mean expected units</w:t>
            </w:r>
          </w:p>
        </w:tc>
        <w:tc>
          <w:tcPr>
            <w:tcW w:type="dxa" w:w="20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Mean daily rate</w:t>
            </w:r>
          </w:p>
        </w:tc>
        <w:tc>
          <w:tcPr>
            <w:tcW w:type="dxa" w:w="2240"/>
            <w:shd w:fill="ECE8DE" w:color="auto" w:val="clear"/>
            <w:tcMar>
              <w:top w:type="dxa" w:w="95"/>
              <w:left w:type="dxa" w:w="120"/>
              <w:bottom w:type="dxa" w:w="95"/>
              <w:right w:type="dxa" w:w="120"/>
            </w:tcMar>
          </w:tcPr>
          <w:p>
            <w:pPr>
              <w:spacing w:after="0" w:line="255"/>
              <w:jc w:val="right"/>
            </w:pPr>
            <w:r>
              <w:rPr>
                <w:b/>
                <w:bCs/>
                <w:color w:val="16181D"/>
                <w:sz w:val="19"/>
                <w:szCs w:val="19"/>
              </w:rPr>
              <w:t xml:space="preserve">Met their rate</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0.00 - 0.30</w:t>
            </w:r>
          </w:p>
        </w:tc>
        <w:tc>
          <w:tcPr>
            <w:tcW w:type="dxa" w:w="1100"/>
            <w:tcMar>
              <w:top w:type="dxa" w:w="95"/>
              <w:left w:type="dxa" w:w="120"/>
              <w:bottom w:type="dxa" w:w="95"/>
              <w:right w:type="dxa" w:w="120"/>
            </w:tcMar>
          </w:tcPr>
          <w:p>
            <w:pPr>
              <w:spacing w:after="0" w:line="255"/>
              <w:jc w:val="right"/>
            </w:pPr>
            <w:r>
              <w:rPr>
                <w:b w:val="false"/>
                <w:bCs w:val="false"/>
                <w:color w:val="16181D"/>
                <w:sz w:val="19"/>
                <w:szCs w:val="19"/>
              </w:rPr>
              <w:t xml:space="preserve">50</w:t>
            </w:r>
          </w:p>
        </w:tc>
        <w:tc>
          <w:tcPr>
            <w:tcW w:type="dxa" w:w="2200"/>
            <w:tcMar>
              <w:top w:type="dxa" w:w="95"/>
              <w:left w:type="dxa" w:w="120"/>
              <w:bottom w:type="dxa" w:w="95"/>
              <w:right w:type="dxa" w:w="120"/>
            </w:tcMar>
          </w:tcPr>
          <w:p>
            <w:pPr>
              <w:spacing w:after="0" w:line="255"/>
              <w:jc w:val="right"/>
            </w:pPr>
            <w:r>
              <w:rPr>
                <w:b w:val="false"/>
                <w:bCs w:val="false"/>
                <w:color w:val="16181D"/>
                <w:sz w:val="19"/>
                <w:szCs w:val="19"/>
              </w:rPr>
              <w:t xml:space="preserve">3.56</w:t>
            </w:r>
          </w:p>
        </w:tc>
        <w:tc>
          <w:tcPr>
            <w:tcW w:type="dxa" w:w="2000"/>
            <w:tcMar>
              <w:top w:type="dxa" w:w="95"/>
              <w:left w:type="dxa" w:w="120"/>
              <w:bottom w:type="dxa" w:w="95"/>
              <w:right w:type="dxa" w:w="120"/>
            </w:tcMar>
          </w:tcPr>
          <w:p>
            <w:pPr>
              <w:spacing w:after="0" w:line="255"/>
              <w:jc w:val="right"/>
            </w:pPr>
            <w:r>
              <w:rPr>
                <w:b w:val="false"/>
                <w:bCs w:val="false"/>
                <w:color w:val="16181D"/>
                <w:sz w:val="19"/>
                <w:szCs w:val="19"/>
              </w:rPr>
              <w:t xml:space="preserve">0.508</w:t>
            </w:r>
          </w:p>
        </w:tc>
        <w:tc>
          <w:tcPr>
            <w:tcW w:type="dxa" w:w="2240"/>
            <w:tcMar>
              <w:top w:type="dxa" w:w="95"/>
              <w:left w:type="dxa" w:w="120"/>
              <w:bottom w:type="dxa" w:w="95"/>
              <w:right w:type="dxa" w:w="120"/>
            </w:tcMar>
          </w:tcPr>
          <w:p>
            <w:pPr>
              <w:spacing w:after="0" w:line="255"/>
              <w:jc w:val="right"/>
            </w:pPr>
            <w:r>
              <w:rPr>
                <w:b w:val="false"/>
                <w:bCs w:val="false"/>
                <w:color w:val="155724"/>
                <w:sz w:val="19"/>
                <w:szCs w:val="19"/>
              </w:rPr>
              <w:t xml:space="preserve">50.0%</w:t>
            </w:r>
          </w:p>
        </w:tc>
      </w:tr>
      <w:tr>
        <w:tc>
          <w:tcPr>
            <w:tcW w:type="dxa" w:w="2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0.30 - 0.40</w:t>
            </w:r>
          </w:p>
        </w:tc>
        <w:tc>
          <w:tcPr>
            <w:tcW w:type="dxa" w:w="11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50</w:t>
            </w:r>
          </w:p>
        </w:tc>
        <w:tc>
          <w:tcPr>
            <w:tcW w:type="dxa" w:w="22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3.98</w:t>
            </w:r>
          </w:p>
        </w:tc>
        <w:tc>
          <w:tcPr>
            <w:tcW w:type="dxa" w:w="20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0.569</w:t>
            </w:r>
          </w:p>
        </w:tc>
        <w:tc>
          <w:tcPr>
            <w:tcW w:type="dxa" w:w="2240"/>
            <w:shd w:fill="FBFAF7" w:color="auto" w:val="clear"/>
            <w:tcMar>
              <w:top w:type="dxa" w:w="95"/>
              <w:left w:type="dxa" w:w="120"/>
              <w:bottom w:type="dxa" w:w="95"/>
              <w:right w:type="dxa" w:w="120"/>
            </w:tcMar>
          </w:tcPr>
          <w:p>
            <w:pPr>
              <w:spacing w:after="0" w:line="255"/>
              <w:jc w:val="right"/>
            </w:pPr>
            <w:r>
              <w:rPr>
                <w:b w:val="false"/>
                <w:bCs w:val="false"/>
                <w:color w:val="8A4B08"/>
                <w:sz w:val="19"/>
                <w:szCs w:val="19"/>
              </w:rPr>
              <w:t xml:space="preserve">16.0%</w:t>
            </w:r>
          </w:p>
        </w:tc>
      </w:tr>
      <w:tr>
        <w:tc>
          <w:tcPr>
            <w:tcW w:type="dxa" w:w="2100"/>
            <w:tcMar>
              <w:top w:type="dxa" w:w="95"/>
              <w:left w:type="dxa" w:w="120"/>
              <w:bottom w:type="dxa" w:w="95"/>
              <w:right w:type="dxa" w:w="120"/>
            </w:tcMar>
          </w:tcPr>
          <w:p>
            <w:pPr>
              <w:spacing w:after="0" w:line="255"/>
              <w:jc w:val="left"/>
            </w:pPr>
            <w:r>
              <w:rPr>
                <w:b w:val="false"/>
                <w:bCs w:val="false"/>
                <w:color w:val="16181D"/>
                <w:sz w:val="19"/>
                <w:szCs w:val="19"/>
              </w:rPr>
              <w:t xml:space="preserve">0.40 - 0.50</w:t>
            </w:r>
          </w:p>
        </w:tc>
        <w:tc>
          <w:tcPr>
            <w:tcW w:type="dxa" w:w="1100"/>
            <w:tcMar>
              <w:top w:type="dxa" w:w="95"/>
              <w:left w:type="dxa" w:w="120"/>
              <w:bottom w:type="dxa" w:w="95"/>
              <w:right w:type="dxa" w:w="120"/>
            </w:tcMar>
          </w:tcPr>
          <w:p>
            <w:pPr>
              <w:spacing w:after="0" w:line="255"/>
              <w:jc w:val="right"/>
            </w:pPr>
            <w:r>
              <w:rPr>
                <w:b w:val="false"/>
                <w:bCs w:val="false"/>
                <w:color w:val="16181D"/>
                <w:sz w:val="19"/>
                <w:szCs w:val="19"/>
              </w:rPr>
              <w:t xml:space="preserve">68</w:t>
            </w:r>
          </w:p>
        </w:tc>
        <w:tc>
          <w:tcPr>
            <w:tcW w:type="dxa" w:w="2200"/>
            <w:tcMar>
              <w:top w:type="dxa" w:w="95"/>
              <w:left w:type="dxa" w:w="120"/>
              <w:bottom w:type="dxa" w:w="95"/>
              <w:right w:type="dxa" w:w="120"/>
            </w:tcMar>
          </w:tcPr>
          <w:p>
            <w:pPr>
              <w:spacing w:after="0" w:line="255"/>
              <w:jc w:val="right"/>
            </w:pPr>
            <w:r>
              <w:rPr>
                <w:b w:val="false"/>
                <w:bCs w:val="false"/>
                <w:color w:val="16181D"/>
                <w:sz w:val="19"/>
                <w:szCs w:val="19"/>
              </w:rPr>
              <w:t xml:space="preserve">similar</w:t>
            </w:r>
          </w:p>
        </w:tc>
        <w:tc>
          <w:tcPr>
            <w:tcW w:type="dxa" w:w="2000"/>
            <w:tcMar>
              <w:top w:type="dxa" w:w="95"/>
              <w:left w:type="dxa" w:w="120"/>
              <w:bottom w:type="dxa" w:w="95"/>
              <w:right w:type="dxa" w:w="120"/>
            </w:tcMar>
          </w:tcPr>
          <w:p>
            <w:pPr>
              <w:spacing w:after="0" w:line="255"/>
              <w:jc w:val="right"/>
            </w:pPr>
            <w:r>
              <w:rPr>
                <w:b w:val="false"/>
                <w:bCs w:val="false"/>
                <w:color w:val="16181D"/>
                <w:sz w:val="19"/>
                <w:szCs w:val="19"/>
              </w:rPr>
              <w:t xml:space="preserve">0.422</w:t>
            </w:r>
          </w:p>
        </w:tc>
        <w:tc>
          <w:tcPr>
            <w:tcW w:type="dxa" w:w="2240"/>
            <w:tcMar>
              <w:top w:type="dxa" w:w="95"/>
              <w:left w:type="dxa" w:w="120"/>
              <w:bottom w:type="dxa" w:w="95"/>
              <w:right w:type="dxa" w:w="120"/>
            </w:tcMar>
          </w:tcPr>
          <w:p>
            <w:pPr>
              <w:spacing w:after="0" w:line="255"/>
              <w:jc w:val="right"/>
            </w:pPr>
            <w:r>
              <w:rPr>
                <w:b w:val="false"/>
                <w:bCs w:val="false"/>
                <w:color w:val="8A4B08"/>
                <w:sz w:val="19"/>
                <w:szCs w:val="19"/>
              </w:rPr>
              <w:t xml:space="preserve">14.7%</w:t>
            </w:r>
          </w:p>
        </w:tc>
      </w:tr>
    </w:tbl>
    <w:p>
      <w:pPr>
        <w:spacing w:after="135" w:line="300"/>
      </w:pPr>
      <w:r>
        <w:rPr>
          <w:b/>
          <w:bCs/>
          <w:color w:val="16181D"/>
          <w:sz w:val="21"/>
          <w:szCs w:val="21"/>
        </w:rPr>
        <w:t xml:space="preserve">The ordering is inverted, and it survives a volume control. </w:t>
      </w:r>
      <w:r>
        <w:rPr>
          <w:color w:val="16181D"/>
          <w:sz w:val="21"/>
          <w:szCs w:val="21"/>
        </w:rPr>
        <w:t xml:space="preserve">The first two bands hold 50 cards each with almost identical expected volume (3.56 against 3.98) and almost identical daily rates (0.508 against 0.569), yet the lower-confidence band met its rate three times as often. Matched on the thing that would otherwise explain it, the relationship still runs backwards.</w:t>
      </w:r>
    </w:p>
    <w:p>
      <w:pPr>
        <w:spacing w:after="135" w:line="300"/>
      </w:pPr>
      <w:r>
        <w:rPr>
          <w:b/>
          <w:bCs/>
          <w:i w:val="false"/>
          <w:iCs w:val="false"/>
          <w:color w:val="16181D"/>
          <w:sz w:val="21"/>
          <w:szCs w:val="21"/>
        </w:rPr>
        <w:t xml:space="preserve">The same number is what the admission gate filters on, at a 0.35 floor. If the ordering is inverted then the gate is preferentially withholding the better cards. Worth checking before anything else in this report.</w:t>
      </w:r>
    </w:p>
    <w:p>
      <w:pPr>
        <w:pStyle w:val="Heading2"/>
        <w:spacing w:after="110" w:before="290"/>
      </w:pPr>
      <w:r>
        <w:rPr>
          <w:b/>
          <w:bCs/>
          <w:color w:val="2E4057"/>
          <w:sz w:val="24"/>
          <w:szCs w:val="24"/>
        </w:rPr>
        <w:t xml:space="preserve">The backtest says something more specific, and it is not the same thing</w:t>
      </w:r>
    </w:p>
    <w:p>
      <w:pPr>
        <w:spacing w:after="135" w:line="300"/>
      </w:pPr>
      <w:r>
        <w:rPr>
          <w:b w:val="false"/>
          <w:bCs w:val="false"/>
          <w:i w:val="false"/>
          <w:iCs w:val="false"/>
          <w:color w:val="16181D"/>
          <w:sz w:val="21"/>
          <w:szCs w:val="21"/>
        </w:rPr>
        <w:t xml:space="preserve">The forward test above measures the `confidence` on LIVE cards, whose derivation is not recorded. The backtest measures `p_hit` on replayed candidates, where the derivation is known. They are different numbers and they give different answers, so they are reported separately rather than stacked up as agreeing evidence.</w:t>
      </w:r>
    </w:p>
    <w:tbl>
      <w:tblPr>
        <w:tblW w:type="dxa" w:w="9640"/>
        <w:tblBorders>
          <w:top w:val="single" w:color="D2CEC4" w:sz="4"/>
          <w:left w:val="none"/>
          <w:bottom w:val="single" w:color="D2CEC4" w:sz="4"/>
          <w:right w:val="none"/>
          <w:insideH w:val="single" w:color="E8E4DB" w:sz="2"/>
          <w:insideV w:val="none"/>
        </w:tblBorders>
      </w:tblPr>
      <w:tblGrid>
        <w:gridCol w:w="3000"/>
        <w:gridCol w:w="800"/>
        <w:gridCol w:w="2200"/>
        <w:gridCol w:w="2200"/>
        <w:gridCol w:w="1440"/>
      </w:tblGrid>
      <w:tr>
        <w:trPr>
          <w:tblHeader/>
        </w:trPr>
        <w:tc>
          <w:tcPr>
            <w:tcW w:type="dxa" w:w="30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Selection method</w:t>
            </w:r>
          </w:p>
        </w:tc>
        <w:tc>
          <w:tcPr>
            <w:tcW w:type="dxa" w:w="8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Cards</w:t>
            </w:r>
          </w:p>
        </w:tc>
        <w:tc>
          <w:tcPr>
            <w:tcW w:type="dxa" w:w="22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Stated p_hit by quintile</w:t>
            </w:r>
          </w:p>
        </w:tc>
        <w:tc>
          <w:tcPr>
            <w:tcW w:type="dxa" w:w="2200"/>
            <w:shd w:fill="ECE8DE" w:color="auto" w:val="clear"/>
            <w:tcMar>
              <w:top w:type="dxa" w:w="95"/>
              <w:left w:type="dxa" w:w="120"/>
              <w:bottom w:type="dxa" w:w="95"/>
              <w:right w:type="dxa" w:w="120"/>
            </w:tcMar>
          </w:tcPr>
          <w:p>
            <w:pPr>
              <w:spacing w:after="0" w:line="255"/>
              <w:jc w:val="left"/>
            </w:pPr>
            <w:r>
              <w:rPr>
                <w:b/>
                <w:bCs/>
                <w:color w:val="16181D"/>
                <w:sz w:val="19"/>
                <w:szCs w:val="19"/>
              </w:rPr>
              <w:t xml:space="preserve">Hit rate by quintile</w:t>
            </w:r>
          </w:p>
        </w:tc>
        <w:tc>
          <w:tcPr>
            <w:tcW w:type="dxa" w:w="1440"/>
            <w:shd w:fill="ECE8DE" w:color="auto" w:val="clear"/>
            <w:tcMar>
              <w:top w:type="dxa" w:w="95"/>
              <w:left w:type="dxa" w:w="120"/>
              <w:bottom w:type="dxa" w:w="95"/>
              <w:right w:type="dxa" w:w="120"/>
            </w:tcMar>
          </w:tcPr>
          <w:p>
            <w:pPr>
              <w:spacing w:after="0" w:line="255"/>
              <w:jc w:val="center"/>
            </w:pPr>
            <w:r>
              <w:rPr>
                <w:b/>
                <w:bCs/>
                <w:color w:val="16181D"/>
                <w:sz w:val="19"/>
                <w:szCs w:val="19"/>
              </w:rPr>
              <w:t xml:space="preserve">Ranks?</w:t>
            </w:r>
          </w:p>
        </w:tc>
      </w:tr>
      <w:tr>
        <w:tc>
          <w:tcPr>
            <w:tcW w:type="dxa" w:w="3000"/>
            <w:tcMar>
              <w:top w:type="dxa" w:w="95"/>
              <w:left w:type="dxa" w:w="120"/>
              <w:bottom w:type="dxa" w:w="95"/>
              <w:right w:type="dxa" w:w="120"/>
            </w:tcMar>
          </w:tcPr>
          <w:p>
            <w:pPr>
              <w:spacing w:after="0" w:line="255"/>
              <w:jc w:val="left"/>
            </w:pPr>
            <w:r>
              <w:rPr>
                <w:b w:val="false"/>
                <w:bCs w:val="false"/>
                <w:color w:val="16181D"/>
                <w:sz w:val="19"/>
                <w:szCs w:val="19"/>
              </w:rPr>
              <w:t xml:space="preserve">The engine’s own picks (what an owner sees)</w:t>
            </w:r>
          </w:p>
        </w:tc>
        <w:tc>
          <w:tcPr>
            <w:tcW w:type="dxa" w:w="800"/>
            <w:tcMar>
              <w:top w:type="dxa" w:w="95"/>
              <w:left w:type="dxa" w:w="120"/>
              <w:bottom w:type="dxa" w:w="95"/>
              <w:right w:type="dxa" w:w="120"/>
            </w:tcMar>
          </w:tcPr>
          <w:p>
            <w:pPr>
              <w:spacing w:after="0" w:line="255"/>
              <w:jc w:val="right"/>
            </w:pPr>
            <w:r>
              <w:rPr>
                <w:b w:val="false"/>
                <w:bCs w:val="false"/>
                <w:color w:val="16181D"/>
                <w:sz w:val="19"/>
                <w:szCs w:val="19"/>
              </w:rPr>
              <w:t xml:space="preserve">1,040</w:t>
            </w:r>
          </w:p>
        </w:tc>
        <w:tc>
          <w:tcPr>
            <w:tcW w:type="dxa" w:w="2200"/>
            <w:tcMar>
              <w:top w:type="dxa" w:w="95"/>
              <w:left w:type="dxa" w:w="120"/>
              <w:bottom w:type="dxa" w:w="95"/>
              <w:right w:type="dxa" w:w="120"/>
            </w:tcMar>
          </w:tcPr>
          <w:p>
            <w:pPr>
              <w:spacing w:after="0" w:line="255"/>
              <w:jc w:val="left"/>
            </w:pPr>
            <w:r>
              <w:rPr>
                <w:b w:val="false"/>
                <w:bCs w:val="false"/>
                <w:color w:val="16181D"/>
                <w:sz w:val="19"/>
                <w:szCs w:val="19"/>
              </w:rPr>
              <w:t xml:space="preserve">0.51  0.52  0.54  0.56  0.65</w:t>
            </w:r>
          </w:p>
        </w:tc>
        <w:tc>
          <w:tcPr>
            <w:tcW w:type="dxa" w:w="2200"/>
            <w:tcMar>
              <w:top w:type="dxa" w:w="95"/>
              <w:left w:type="dxa" w:w="120"/>
              <w:bottom w:type="dxa" w:w="95"/>
              <w:right w:type="dxa" w:w="120"/>
            </w:tcMar>
          </w:tcPr>
          <w:p>
            <w:pPr>
              <w:spacing w:after="0" w:line="255"/>
              <w:jc w:val="left"/>
            </w:pPr>
            <w:r>
              <w:rPr>
                <w:b w:val="false"/>
                <w:bCs w:val="false"/>
                <w:color w:val="8A4B08"/>
                <w:sz w:val="19"/>
                <w:szCs w:val="19"/>
              </w:rPr>
              <w:t xml:space="preserve">72%  72%  77%  87%  82%</w:t>
            </w:r>
          </w:p>
        </w:tc>
        <w:tc>
          <w:tcPr>
            <w:tcW w:type="dxa" w:w="1440"/>
            <w:tcMar>
              <w:top w:type="dxa" w:w="95"/>
              <w:left w:type="dxa" w:w="120"/>
              <w:bottom w:type="dxa" w:w="95"/>
              <w:right w:type="dxa" w:w="120"/>
            </w:tcMar>
          </w:tcPr>
          <w:p>
            <w:pPr>
              <w:spacing w:after="0" w:line="255"/>
              <w:jc w:val="center"/>
            </w:pPr>
            <w:r>
              <w:rPr>
                <w:b w:val="false"/>
                <w:bCs w:val="false"/>
                <w:color w:val="8A4B08"/>
                <w:sz w:val="19"/>
                <w:szCs w:val="19"/>
              </w:rPr>
              <w:t xml:space="preserve">NO</w:t>
            </w:r>
          </w:p>
        </w:tc>
      </w:tr>
      <w:tr>
        <w:tc>
          <w:tcPr>
            <w:tcW w:type="dxa" w:w="30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The old ungated ordering, for contrast</w:t>
            </w:r>
          </w:p>
        </w:tc>
        <w:tc>
          <w:tcPr>
            <w:tcW w:type="dxa" w:w="8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2,200</w:t>
            </w:r>
          </w:p>
        </w:tc>
        <w:tc>
          <w:tcPr>
            <w:tcW w:type="dxa" w:w="2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0.14  0.32  0.39  0.42  0.46</w:t>
            </w:r>
          </w:p>
        </w:tc>
        <w:tc>
          <w:tcPr>
            <w:tcW w:type="dxa" w:w="2200"/>
            <w:shd w:fill="FBFAF7" w:color="auto" w:val="clear"/>
            <w:tcMar>
              <w:top w:type="dxa" w:w="95"/>
              <w:left w:type="dxa" w:w="120"/>
              <w:bottom w:type="dxa" w:w="95"/>
              <w:right w:type="dxa" w:w="120"/>
            </w:tcMar>
          </w:tcPr>
          <w:p>
            <w:pPr>
              <w:spacing w:after="0" w:line="255"/>
              <w:jc w:val="left"/>
            </w:pPr>
            <w:r>
              <w:rPr>
                <w:b w:val="false"/>
                <w:bCs w:val="false"/>
                <w:color w:val="155724"/>
                <w:sz w:val="19"/>
                <w:szCs w:val="19"/>
              </w:rPr>
              <w:t xml:space="preserve">4%  27%  30%  38%  60%</w:t>
            </w:r>
          </w:p>
        </w:tc>
        <w:tc>
          <w:tcPr>
            <w:tcW w:type="dxa" w:w="1440"/>
            <w:shd w:fill="FBFAF7" w:color="auto" w:val="clear"/>
            <w:tcMar>
              <w:top w:type="dxa" w:w="95"/>
              <w:left w:type="dxa" w:w="120"/>
              <w:bottom w:type="dxa" w:w="95"/>
              <w:right w:type="dxa" w:w="120"/>
            </w:tcMar>
          </w:tcPr>
          <w:p>
            <w:pPr>
              <w:spacing w:after="0" w:line="255"/>
              <w:jc w:val="center"/>
            </w:pPr>
            <w:r>
              <w:rPr>
                <w:b w:val="false"/>
                <w:bCs w:val="false"/>
                <w:color w:val="155724"/>
                <w:sz w:val="19"/>
                <w:szCs w:val="19"/>
              </w:rPr>
              <w:t xml:space="preserve">yes</w:t>
            </w:r>
          </w:p>
        </w:tc>
      </w:tr>
    </w:tbl>
    <w:p>
      <w:pPr>
        <w:spacing w:after="135" w:line="300"/>
      </w:pPr>
      <w:r>
        <w:rPr>
          <w:b/>
          <w:bCs/>
          <w:color w:val="16181D"/>
          <w:sz w:val="21"/>
          <w:szCs w:val="21"/>
        </w:rPr>
        <w:t xml:space="preserve">So p_hit is a good gate and a poor fine-grained ranker. </w:t>
      </w:r>
      <w:r>
        <w:rPr>
          <w:color w:val="16181D"/>
          <w:sz w:val="21"/>
          <w:szCs w:val="21"/>
        </w:rPr>
        <w:t xml:space="preserve">Across the full range the ungated arm spans p_hit 0.14 to 0.46 and its hit rate climbs monotonically with it, which is the gate earning its place. Inside the narrow band the engine actually admits (0.51 to 0.65), the ordering carries almost no information.</w:t>
      </w:r>
    </w:p>
    <w:p>
      <w:pPr>
        <w:spacing w:after="135" w:line="300"/>
      </w:pPr>
      <w:r>
        <w:rPr>
          <w:b w:val="false"/>
          <w:bCs w:val="false"/>
          <w:i w:val="false"/>
          <w:iCs w:val="false"/>
          <w:color w:val="16181D"/>
          <w:sz w:val="21"/>
          <w:szCs w:val="21"/>
        </w:rPr>
        <w:t xml:space="preserve">The practical consequence: showing the top three cards instead of the top ten is not reliably better, because the ranking inside the slate is close to noise. The honest lever is the floor, not the rank.</w:t>
      </w:r>
    </w:p>
    <w:p>
      <w:pPr>
        <w:spacing w:after="135" w:line="300"/>
      </w:pPr>
      <w:r>
        <w:rPr>
          <w:b w:val="false"/>
          <w:bCs w:val="false"/>
          <w:i w:val="false"/>
          <w:iCs w:val="false"/>
          <w:color w:val="585C66"/>
          <w:sz w:val="18"/>
          <w:szCs w:val="18"/>
        </w:rPr>
        <w:t xml:space="preserve">One caution on this table, because it is easy to get wrong and was got wrong once while preparing this report: pooling the two arms produces a clean monotone sequence from 11% to 80%, which measures the GATE separating two populations in different confidence ranges, not p_hit ranking within either. The arms have to be read apart.</w:t>
      </w:r>
    </w:p>
    <w:p>
      <w:pPr>
        <w:spacing w:after="135" w:line="300"/>
      </w:pPr>
      <w:r>
        <w:rPr>
          <w:b w:val="false"/>
          <w:bCs w:val="false"/>
          <w:i w:val="false"/>
          <w:iCs w:val="false"/>
          <w:color w:val="585C66"/>
          <w:sz w:val="18"/>
          <w:szCs w:val="18"/>
        </w:rPr>
        <w:t xml:space="preserve">A caveat that cuts both ways: every card in this sample records no `confidence_basis`, so how the number was derived is not recorded. Across the estate the recorded bases are either a constant 0.444 from an isotonic fit that found nothing to discriminate on, or a raw ranking score that was never mapped to a probability. So this is a measurement of a number of unknown provenance, which is arguably the more serious finding.</w:t>
      </w:r>
    </w:p>
    <w:p>
      <w:pPr>
        <w:pStyle w:val="Heading1"/>
        <w:pBdr>
          <w:bottom w:val="single" w:color="D2CEC4" w:sz="6" w:space="6"/>
        </w:pBdr>
        <w:spacing w:after="150" w:before="380"/>
      </w:pPr>
      <w:r>
        <w:rPr>
          <w:b/>
          <w:bCs/>
          <w:color w:val="16181D"/>
          <w:sz w:val="29"/>
          <w:szCs w:val="29"/>
        </w:rPr>
        <w:t xml:space="preserve">5. Data audit</w:t>
      </w:r>
    </w:p>
    <w:tbl>
      <w:tblPr>
        <w:tblW w:type="dxa" w:w="9640"/>
        <w:tblBorders>
          <w:top w:val="single" w:color="D2CEC4" w:sz="4"/>
          <w:left w:val="none"/>
          <w:bottom w:val="single" w:color="D2CEC4" w:sz="4"/>
          <w:right w:val="none"/>
          <w:insideH w:val="none"/>
          <w:insideV w:val="single" w:color="D2CEC4" w:sz="2"/>
        </w:tblBorders>
      </w:tblPr>
      <w:tblGrid>
        <w:gridCol w:w="2410"/>
        <w:gridCol w:w="2410"/>
        <w:gridCol w:w="2410"/>
        <w:gridCol w:w="2410"/>
      </w:tblGrid>
      <w:tr>
        <w:tc>
          <w:tcPr>
            <w:tcW w:type="dxa" w:w="2410"/>
            <w:tcMar>
              <w:top w:type="dxa" w:w="170"/>
              <w:left w:type="dxa" w:w="130"/>
              <w:bottom w:type="dxa" w:w="170"/>
              <w:right w:type="dxa" w:w="130"/>
            </w:tcMar>
          </w:tcPr>
          <w:p>
            <w:pPr>
              <w:spacing w:after="40"/>
              <w:jc w:val="center"/>
            </w:pPr>
            <w:r>
              <w:rPr>
                <w:b/>
                <w:bCs/>
                <w:color w:val="16181D"/>
                <w:sz w:val="40"/>
                <w:szCs w:val="40"/>
              </w:rPr>
              <w:t xml:space="preserve">153,047</w:t>
            </w:r>
          </w:p>
          <w:p>
            <w:pPr>
              <w:spacing w:after="0" w:line="240"/>
              <w:jc w:val="center"/>
            </w:pPr>
            <w:r>
              <w:rPr>
                <w:color w:val="585C66"/>
                <w:sz w:val="17"/>
                <w:szCs w:val="17"/>
              </w:rPr>
              <w:t xml:space="preserve">receipts</w:t>
            </w:r>
          </w:p>
        </w:tc>
        <w:tc>
          <w:tcPr>
            <w:tcW w:type="dxa" w:w="2410"/>
            <w:tcMar>
              <w:top w:type="dxa" w:w="170"/>
              <w:left w:type="dxa" w:w="130"/>
              <w:bottom w:type="dxa" w:w="170"/>
              <w:right w:type="dxa" w:w="130"/>
            </w:tcMar>
          </w:tcPr>
          <w:p>
            <w:pPr>
              <w:spacing w:after="40"/>
              <w:jc w:val="center"/>
            </w:pPr>
            <w:r>
              <w:rPr>
                <w:b/>
                <w:bCs/>
                <w:color w:val="16181D"/>
                <w:sz w:val="40"/>
                <w:szCs w:val="40"/>
              </w:rPr>
              <w:t xml:space="preserve">1,178</w:t>
            </w:r>
          </w:p>
          <w:p>
            <w:pPr>
              <w:spacing w:after="0" w:line="240"/>
              <w:jc w:val="center"/>
            </w:pPr>
            <w:r>
              <w:rPr>
                <w:color w:val="585C66"/>
                <w:sz w:val="17"/>
                <w:szCs w:val="17"/>
              </w:rPr>
              <w:t xml:space="preserve">trading days</w:t>
            </w:r>
          </w:p>
        </w:tc>
        <w:tc>
          <w:tcPr>
            <w:tcW w:type="dxa" w:w="2410"/>
            <w:tcMar>
              <w:top w:type="dxa" w:w="170"/>
              <w:left w:type="dxa" w:w="130"/>
              <w:bottom w:type="dxa" w:w="170"/>
              <w:right w:type="dxa" w:w="130"/>
            </w:tcMar>
          </w:tcPr>
          <w:p>
            <w:pPr>
              <w:spacing w:after="40"/>
              <w:jc w:val="center"/>
            </w:pPr>
            <w:r>
              <w:rPr>
                <w:b/>
                <w:bCs/>
                <w:color w:val="155724"/>
                <w:sz w:val="40"/>
                <w:szCs w:val="40"/>
              </w:rPr>
              <w:t xml:space="preserve">93.3%</w:t>
            </w:r>
          </w:p>
          <w:p>
            <w:pPr>
              <w:spacing w:after="0" w:line="240"/>
              <w:jc w:val="center"/>
            </w:pPr>
            <w:r>
              <w:rPr>
                <w:color w:val="585C66"/>
                <w:sz w:val="17"/>
                <w:szCs w:val="17"/>
              </w:rPr>
              <w:t xml:space="preserve">lines with cost</w:t>
            </w:r>
          </w:p>
        </w:tc>
        <w:tc>
          <w:tcPr>
            <w:tcW w:type="dxa" w:w="2410"/>
            <w:tcMar>
              <w:top w:type="dxa" w:w="170"/>
              <w:left w:type="dxa" w:w="130"/>
              <w:bottom w:type="dxa" w:w="170"/>
              <w:right w:type="dxa" w:w="130"/>
            </w:tcMar>
          </w:tcPr>
          <w:p>
            <w:pPr>
              <w:spacing w:after="40"/>
              <w:jc w:val="center"/>
            </w:pPr>
            <w:r>
              <w:rPr>
                <w:b/>
                <w:bCs/>
                <w:color w:val="155724"/>
                <w:sz w:val="40"/>
                <w:szCs w:val="40"/>
              </w:rPr>
              <w:t xml:space="preserve">71/100</w:t>
            </w:r>
          </w:p>
          <w:p>
            <w:pPr>
              <w:spacing w:after="0" w:line="240"/>
              <w:jc w:val="center"/>
            </w:pPr>
            <w:r>
              <w:rPr>
                <w:color w:val="585C66"/>
                <w:sz w:val="17"/>
                <w:szCs w:val="17"/>
              </w:rPr>
              <w:t xml:space="preserve">data confidence</w:t>
            </w:r>
          </w:p>
        </w:tc>
      </w:tr>
    </w:tbl>
    <w:tbl>
      <w:tblPr>
        <w:tblW w:type="dxa" w:w="9640"/>
        <w:tblBorders>
          <w:top w:val="single" w:color="D2CEC4" w:sz="4"/>
          <w:left w:val="none"/>
          <w:bottom w:val="single" w:color="D2CEC4" w:sz="4"/>
          <w:right w:val="none"/>
          <w:insideH w:val="single" w:color="E8E4DB" w:sz="2"/>
          <w:insideV w:val="none"/>
        </w:tblBorders>
      </w:tblPr>
      <w:tblGrid>
        <w:gridCol w:w="2300"/>
        <w:gridCol w:w="900"/>
        <w:gridCol w:w="6440"/>
      </w:tblGrid>
      <w:tr>
        <w:trPr>
          <w:tblHeader/>
        </w:trPr>
        <w:tc>
          <w:tcPr>
            <w:tcW w:type="dxa" w:w="2300"/>
            <w:shd w:fill="ECE8DE" w:color="auto" w:val="clear"/>
            <w:tcMar>
              <w:top w:type="dxa" w:w="95"/>
              <w:left w:type="dxa" w:w="120"/>
              <w:bottom w:type="dxa" w:w="95"/>
              <w:right w:type="dxa" w:w="120"/>
            </w:tcMar>
          </w:tcPr>
          <w:p>
            <w:pPr>
              <w:spacing w:after="0" w:line="255"/>
              <w:jc w:val="left"/>
            </w:pPr>
            <w:r>
              <w:rPr>
                <w:b/>
                <w:bCs/>
                <w:color w:val="16181D"/>
                <w:sz w:val="19"/>
                <w:szCs w:val="19"/>
              </w:rPr>
              <w:t xml:space="preserve">Feed</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4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What the score is based on</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Sales and sale items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97.4</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price on 93.6% and cost on 93.3% of lines, 0 voids, 0 blank SKUs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Product master</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97.5</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9,805 products, cost on 90.0%, stock on 100.0%</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Purchases and receiving</w:t>
            </w:r>
          </w:p>
        </w:tc>
        <w:tc>
          <w:tcPr>
            <w:tcW w:type="dxa" w:w="900"/>
            <w:tcMar>
              <w:top w:type="dxa" w:w="95"/>
              <w:left w:type="dxa" w:w="120"/>
              <w:bottom w:type="dxa" w:w="95"/>
              <w:right w:type="dxa" w:w="120"/>
            </w:tcMar>
          </w:tcPr>
          <w:p>
            <w:pPr>
              <w:spacing w:after="0" w:line="255"/>
              <w:jc w:val="right"/>
            </w:pPr>
            <w:r>
              <w:rPr>
                <w:b w:val="false"/>
                <w:bCs w:val="false"/>
                <w:color w:val="8A4B08"/>
                <w:sz w:val="19"/>
                <w:szCs w:val="19"/>
              </w:rPr>
              <w:t xml:space="preserve">3.8</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only 2 rows exist, dated 2020-05-13, so there is effectively no receiving history at all (a usable feed needs at least 52 rows)</w:t>
            </w:r>
          </w:p>
        </w:tc>
      </w:tr>
      <w:tr>
        <w:tc>
          <w:tcPr>
            <w:tcW w:type="dxa" w:w="23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Customer identification</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57.9</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60.2% of receipts carry a REAL person (100.0% carry some id, but 39.8% of those are the "Cash Customer" placeholder), and 55.6% of customer records are a real person with a phone or email</w:t>
            </w:r>
          </w:p>
        </w:tc>
      </w:tr>
      <w:tr>
        <w:tc>
          <w:tcPr>
            <w:tcW w:type="dxa" w:w="2300"/>
            <w:tcMar>
              <w:top w:type="dxa" w:w="95"/>
              <w:left w:type="dxa" w:w="120"/>
              <w:bottom w:type="dxa" w:w="95"/>
              <w:right w:type="dxa" w:w="120"/>
            </w:tcMar>
          </w:tcPr>
          <w:p>
            <w:pPr>
              <w:spacing w:after="0" w:line="255"/>
              <w:jc w:val="left"/>
            </w:pPr>
            <w:r>
              <w:rPr>
                <w:b w:val="false"/>
                <w:bCs w:val="false"/>
                <w:color w:val="16181D"/>
                <w:sz w:val="19"/>
                <w:szCs w:val="19"/>
              </w:rPr>
              <w:t xml:space="preserve">Freshness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440"/>
            <w:tcMar>
              <w:top w:type="dxa" w:w="95"/>
              <w:left w:type="dxa" w:w="120"/>
              <w:bottom w:type="dxa" w:w="95"/>
              <w:right w:type="dxa" w:w="120"/>
            </w:tcMar>
          </w:tcPr>
          <w:p>
            <w:pPr>
              <w:spacing w:after="0" w:line="255"/>
              <w:jc w:val="left"/>
            </w:pPr>
            <w:r>
              <w:rPr>
                <w:b w:val="false"/>
                <w:bCs w:val="false"/>
                <w:color w:val="16181D"/>
                <w:sz w:val="19"/>
                <w:szCs w:val="19"/>
              </w:rPr>
              <w:t xml:space="preserve">newest sale 2026-10-15, which is 1 days before this report. 1,178 trading days on record</w:t>
            </w:r>
          </w:p>
        </w:tc>
      </w:tr>
      <w:tr>
        <w:tc>
          <w:tcPr>
            <w:tcW w:type="dxa" w:w="23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71.3</w:t>
            </w:r>
          </w:p>
        </w:tc>
        <w:tc>
          <w:tcPr>
            <w:tcW w:type="dxa" w:w="64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equally weighted across the five feeds</w:t>
            </w:r>
          </w:p>
        </w:tc>
      </w:tr>
    </w:tbl>
    <w:p>
      <w:pPr>
        <w:pStyle w:val="Heading2"/>
        <w:spacing w:after="110" w:before="290"/>
      </w:pPr>
      <w:r>
        <w:rPr>
          <w:b/>
          <w:bCs/>
          <w:color w:val="2E4057"/>
          <w:sz w:val="24"/>
          <w:szCs w:val="24"/>
        </w:rPr>
        <w:t xml:space="preserve">The data contract refused 36 lines, and that moved the result</w:t>
      </w:r>
    </w:p>
    <w:p>
      <w:pPr>
        <w:spacing w:after="135" w:line="300"/>
      </w:pPr>
      <w:r>
        <w:rPr>
          <w:b w:val="false"/>
          <w:bCs w:val="false"/>
          <w:i w:val="false"/>
          <w:iCs w:val="false"/>
          <w:color w:val="16181D"/>
          <w:sz w:val="21"/>
          <w:szCs w:val="21"/>
        </w:rPr>
        <w:t xml:space="preserve">The quantity contract used to be a single cap of 1,000 units per line, which at this store caught nothing at all: the 99.9th percentile is 24 units and not one line in 265,945 exceeded 1,000. It now also refuses a quantity equal to the line’s own SKU or UPC, and anything above twelve times that SKU’s own 95th percentile.</w:t>
      </w:r>
    </w:p>
    <w:tbl>
      <w:tblPr>
        <w:tblW w:type="dxa" w:w="9640"/>
        <w:tblBorders>
          <w:top w:val="single" w:color="D2CEC4" w:sz="4"/>
          <w:left w:val="none"/>
          <w:bottom w:val="single" w:color="D2CEC4" w:sz="4"/>
          <w:right w:val="none"/>
          <w:insideH w:val="single" w:color="E8E4DB" w:sz="2"/>
          <w:insideV w:val="none"/>
        </w:tblBorders>
      </w:tblPr>
      <w:tblGrid>
        <w:gridCol w:w="4200"/>
        <w:gridCol w:w="900"/>
        <w:gridCol w:w="4540"/>
      </w:tblGrid>
      <w:tr>
        <w:trPr>
          <w:tblHeader/>
        </w:trPr>
        <w:tc>
          <w:tcPr>
            <w:tcW w:type="dxa" w:w="4200"/>
            <w:shd w:fill="ECE8DE" w:color="auto" w:val="clear"/>
            <w:tcMar>
              <w:top w:type="dxa" w:w="95"/>
              <w:left w:type="dxa" w:w="120"/>
              <w:bottom w:type="dxa" w:w="95"/>
              <w:right w:type="dxa" w:w="120"/>
            </w:tcMar>
          </w:tcPr>
          <w:p>
            <w:pPr>
              <w:spacing w:after="0" w:line="255"/>
              <w:jc w:val="left"/>
            </w:pPr>
            <w:r>
              <w:rPr>
                <w:b/>
                <w:bCs/>
                <w:color w:val="16181D"/>
                <w:sz w:val="19"/>
                <w:szCs w:val="19"/>
              </w:rPr>
              <w:t xml:space="preserve">Refused line</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Units</w:t>
            </w:r>
          </w:p>
        </w:tc>
        <w:tc>
          <w:tcPr>
            <w:tcW w:type="dxa" w:w="4540"/>
            <w:shd w:fill="ECE8DE" w:color="auto" w:val="clear"/>
            <w:tcMar>
              <w:top w:type="dxa" w:w="95"/>
              <w:left w:type="dxa" w:w="120"/>
              <w:bottom w:type="dxa" w:w="95"/>
              <w:right w:type="dxa" w:w="120"/>
            </w:tcMar>
          </w:tcPr>
          <w:p>
            <w:pPr>
              <w:spacing w:after="0" w:line="255"/>
              <w:jc w:val="left"/>
            </w:pPr>
            <w:r>
              <w:rPr>
                <w:b/>
                <w:bCs/>
                <w:color w:val="16181D"/>
                <w:sz w:val="19"/>
                <w:szCs w:val="19"/>
              </w:rPr>
              <w:t xml:space="preserve">Why</w:t>
            </w:r>
          </w:p>
        </w:tc>
      </w:tr>
      <w:tr>
        <w:tc>
          <w:tcPr>
            <w:tcW w:type="dxa" w:w="4200"/>
            <w:tcMar>
              <w:top w:type="dxa" w:w="95"/>
              <w:left w:type="dxa" w:w="120"/>
              <w:bottom w:type="dxa" w:w="95"/>
              <w:right w:type="dxa" w:w="120"/>
            </w:tcMar>
          </w:tcPr>
          <w:p>
            <w:pPr>
              <w:spacing w:after="0" w:line="255"/>
              <w:jc w:val="left"/>
            </w:pPr>
            <w:r>
              <w:rPr>
                <w:b w:val="false"/>
                <w:bCs w:val="false"/>
                <w:color w:val="16181D"/>
                <w:sz w:val="19"/>
                <w:szCs w:val="19"/>
              </w:rPr>
              <w:t xml:space="preserve">2023-10-04  Wild Turkey 101 750ml</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200</w:t>
            </w:r>
          </w:p>
        </w:tc>
        <w:tc>
          <w:tcPr>
            <w:tcW w:type="dxa" w:w="4540"/>
            <w:tcMar>
              <w:top w:type="dxa" w:w="95"/>
              <w:left w:type="dxa" w:w="120"/>
              <w:bottom w:type="dxa" w:w="95"/>
              <w:right w:type="dxa" w:w="120"/>
            </w:tcMar>
          </w:tcPr>
          <w:p>
            <w:pPr>
              <w:spacing w:after="0" w:line="255"/>
              <w:jc w:val="left"/>
            </w:pPr>
            <w:r>
              <w:rPr>
                <w:b w:val="false"/>
                <w:bCs w:val="false"/>
                <w:color w:val="8A4B08"/>
                <w:sz w:val="19"/>
                <w:szCs w:val="19"/>
              </w:rPr>
              <w:t xml:space="preserve">200 against this SKU's own threshold of 24</w:t>
            </w:r>
          </w:p>
        </w:tc>
      </w:tr>
      <w:tr>
        <w:tc>
          <w:tcPr>
            <w:tcW w:type="dxa" w:w="4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2024-11-01  BLANTON BOURBON 750ML</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186</w:t>
            </w:r>
          </w:p>
        </w:tc>
        <w:tc>
          <w:tcPr>
            <w:tcW w:type="dxa" w:w="45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186 against this SKU's own threshold of 24</w:t>
            </w:r>
          </w:p>
        </w:tc>
      </w:tr>
      <w:tr>
        <w:tc>
          <w:tcPr>
            <w:tcW w:type="dxa" w:w="4200"/>
            <w:tcMar>
              <w:top w:type="dxa" w:w="95"/>
              <w:left w:type="dxa" w:w="120"/>
              <w:bottom w:type="dxa" w:w="95"/>
              <w:right w:type="dxa" w:w="120"/>
            </w:tcMar>
          </w:tcPr>
          <w:p>
            <w:pPr>
              <w:spacing w:after="0" w:line="255"/>
              <w:jc w:val="left"/>
            </w:pPr>
            <w:r>
              <w:rPr>
                <w:b w:val="false"/>
                <w:bCs w:val="false"/>
                <w:color w:val="16181D"/>
                <w:sz w:val="19"/>
                <w:szCs w:val="19"/>
              </w:rPr>
              <w:t xml:space="preserve">2024-12-12  Buffalo Trace Single Barrel</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120</w:t>
            </w:r>
          </w:p>
        </w:tc>
        <w:tc>
          <w:tcPr>
            <w:tcW w:type="dxa" w:w="4540"/>
            <w:tcMar>
              <w:top w:type="dxa" w:w="95"/>
              <w:left w:type="dxa" w:w="120"/>
              <w:bottom w:type="dxa" w:w="95"/>
              <w:right w:type="dxa" w:w="120"/>
            </w:tcMar>
          </w:tcPr>
          <w:p>
            <w:pPr>
              <w:spacing w:after="0" w:line="255"/>
              <w:jc w:val="left"/>
            </w:pPr>
            <w:r>
              <w:rPr>
                <w:b w:val="false"/>
                <w:bCs w:val="false"/>
                <w:color w:val="8A4B08"/>
                <w:sz w:val="19"/>
                <w:szCs w:val="19"/>
              </w:rPr>
              <w:t xml:space="preserve">120 against this SKU's own threshold of 48</w:t>
            </w:r>
          </w:p>
        </w:tc>
      </w:tr>
      <w:tr>
        <w:tc>
          <w:tcPr>
            <w:tcW w:type="dxa" w:w="4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2026-07-03  Ironroot Industrial Luciano</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102</w:t>
            </w:r>
          </w:p>
        </w:tc>
        <w:tc>
          <w:tcPr>
            <w:tcW w:type="dxa" w:w="45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102 against this SKU's own threshold of 24</w:t>
            </w:r>
          </w:p>
        </w:tc>
      </w:tr>
      <w:tr>
        <w:tc>
          <w:tcPr>
            <w:tcW w:type="dxa" w:w="4200"/>
            <w:tcMar>
              <w:top w:type="dxa" w:w="95"/>
              <w:left w:type="dxa" w:w="120"/>
              <w:bottom w:type="dxa" w:w="95"/>
              <w:right w:type="dxa" w:w="120"/>
            </w:tcMar>
          </w:tcPr>
          <w:p>
            <w:pPr>
              <w:spacing w:after="0" w:line="255"/>
              <w:jc w:val="left"/>
            </w:pPr>
            <w:r>
              <w:rPr>
                <w:b w:val="false"/>
                <w:bCs w:val="false"/>
                <w:color w:val="16181D"/>
                <w:sz w:val="19"/>
                <w:szCs w:val="19"/>
              </w:rPr>
              <w:t xml:space="preserve">2023-10-02  Wild Turkey 101 750ml</w:t>
            </w:r>
          </w:p>
        </w:tc>
        <w:tc>
          <w:tcPr>
            <w:tcW w:type="dxa" w:w="900"/>
            <w:tcMar>
              <w:top w:type="dxa" w:w="95"/>
              <w:left w:type="dxa" w:w="120"/>
              <w:bottom w:type="dxa" w:w="95"/>
              <w:right w:type="dxa" w:w="120"/>
            </w:tcMar>
          </w:tcPr>
          <w:p>
            <w:pPr>
              <w:spacing w:after="0" w:line="255"/>
              <w:jc w:val="right"/>
            </w:pPr>
            <w:r>
              <w:rPr>
                <w:b w:val="false"/>
                <w:bCs w:val="false"/>
                <w:color w:val="16181D"/>
                <w:sz w:val="19"/>
                <w:szCs w:val="19"/>
              </w:rPr>
              <w:t xml:space="preserve">100</w:t>
            </w:r>
          </w:p>
        </w:tc>
        <w:tc>
          <w:tcPr>
            <w:tcW w:type="dxa" w:w="4540"/>
            <w:tcMar>
              <w:top w:type="dxa" w:w="95"/>
              <w:left w:type="dxa" w:w="120"/>
              <w:bottom w:type="dxa" w:w="95"/>
              <w:right w:type="dxa" w:w="120"/>
            </w:tcMar>
          </w:tcPr>
          <w:p>
            <w:pPr>
              <w:spacing w:after="0" w:line="255"/>
              <w:jc w:val="left"/>
            </w:pPr>
            <w:r>
              <w:rPr>
                <w:b w:val="false"/>
                <w:bCs w:val="false"/>
                <w:color w:val="8A4B08"/>
                <w:sz w:val="19"/>
                <w:szCs w:val="19"/>
              </w:rPr>
              <w:t xml:space="preserve">100 against this SKU's own threshold of 24</w:t>
            </w:r>
          </w:p>
        </w:tc>
      </w:tr>
      <w:tr>
        <w:tc>
          <w:tcPr>
            <w:tcW w:type="dxa" w:w="42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2026-04-14  Evan Williams SB 250th 117.76</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90</w:t>
            </w:r>
          </w:p>
        </w:tc>
        <w:tc>
          <w:tcPr>
            <w:tcW w:type="dxa" w:w="4540"/>
            <w:shd w:fill="FBFAF7" w:color="auto" w:val="clear"/>
            <w:tcMar>
              <w:top w:type="dxa" w:w="95"/>
              <w:left w:type="dxa" w:w="120"/>
              <w:bottom w:type="dxa" w:w="95"/>
              <w:right w:type="dxa" w:w="120"/>
            </w:tcMar>
          </w:tcPr>
          <w:p>
            <w:pPr>
              <w:spacing w:after="0" w:line="255"/>
              <w:jc w:val="left"/>
            </w:pPr>
            <w:r>
              <w:rPr>
                <w:b w:val="false"/>
                <w:bCs w:val="false"/>
                <w:color w:val="8A4B08"/>
                <w:sz w:val="19"/>
                <w:szCs w:val="19"/>
              </w:rPr>
              <w:t xml:space="preserve">90 against this SKU's own threshold of 36</w:t>
            </w:r>
          </w:p>
        </w:tc>
      </w:tr>
    </w:tbl>
    <w:p>
      <w:pPr>
        <w:spacing w:after="135" w:line="300"/>
      </w:pPr>
      <w:r>
        <w:rPr>
          <w:b w:val="false"/>
          <w:bCs w:val="false"/>
          <w:i w:val="false"/>
          <w:iCs w:val="false"/>
          <w:color w:val="16181D"/>
          <w:sz w:val="21"/>
          <w:szCs w:val="21"/>
        </w:rPr>
        <w:t xml:space="preserve">186 units of Blanton’s on one line, 200 of Wild Turkey: allocated bourbons that do not move in those quantities. With these 36 lines refused the hit rate rose from 75.6% to 78.0% and the edge over the hard null from +16.6 to +18.8 points, because the outliers had been inflating their own SKUs’ trailing rates and making the bar harder to clear.</w:t>
      </w:r>
    </w:p>
    <w:p>
      <w:pPr>
        <w:pStyle w:val="Heading2"/>
        <w:spacing w:after="110" w:before="290"/>
      </w:pPr>
      <w:r>
        <w:rPr>
          <w:b/>
          <w:bCs/>
          <w:color w:val="2E4057"/>
          <w:sz w:val="24"/>
          <w:szCs w:val="24"/>
        </w:rPr>
        <w:t xml:space="preserve">The receiving feed is the thing to fix</w:t>
      </w:r>
    </w:p>
    <w:p>
      <w:pPr>
        <w:spacing w:after="135" w:line="300"/>
      </w:pPr>
      <w:r>
        <w:rPr>
          <w:b/>
          <w:bCs/>
          <w:color w:val="8A4B08"/>
          <w:sz w:val="21"/>
          <w:szCs w:val="21"/>
        </w:rPr>
        <w:t xml:space="preserve">Bethany holds 2 purchase rows, both dated 2020-05-13. </w:t>
      </w:r>
      <w:r>
        <w:rPr>
          <w:color w:val="16181D"/>
          <w:sz w:val="21"/>
          <w:szCs w:val="21"/>
        </w:rPr>
        <w:t xml:space="preserve">That is not a thin feed, it is an absent one with a six-year-old stub in it. No supplier lead time, no delivery cadence and no reorder timing can be computed, so the order-policy module is choosing quantities without knowing when stock next arrives. Every other store examined shows the same two rows on the same date, which suggests a seeded artifact rather than a per-store integration fault.</w:t>
      </w:r>
    </w:p>
    <w:p>
      <w:pPr>
        <w:pStyle w:val="Heading2"/>
        <w:spacing w:after="110" w:before="290"/>
      </w:pPr>
      <w:r>
        <w:rPr>
          <w:b/>
          <w:bCs/>
          <w:color w:val="2E4057"/>
          <w:sz w:val="24"/>
          <w:szCs w:val="24"/>
        </w:rPr>
        <w:t xml:space="preserve">Everything else</w:t>
      </w:r>
    </w:p>
    <w:tbl>
      <w:tblPr>
        <w:tblW w:type="dxa" w:w="9640"/>
        <w:tblBorders>
          <w:top w:val="single" w:color="D2CEC4" w:sz="4"/>
          <w:left w:val="none"/>
          <w:bottom w:val="single" w:color="D2CEC4" w:sz="4"/>
          <w:right w:val="none"/>
          <w:insideH w:val="single" w:color="E8E4DB" w:sz="2"/>
          <w:insideV w:val="none"/>
        </w:tblBorders>
      </w:tblPr>
      <w:tblGrid>
        <w:gridCol w:w="3100"/>
        <w:gridCol w:w="1500"/>
        <w:gridCol w:w="5040"/>
      </w:tblGrid>
      <w:tr>
        <w:trPr>
          <w:tblHeader/>
        </w:trPr>
        <w:tc>
          <w:tcPr>
            <w:tcW w:type="dxa" w:w="3100"/>
            <w:shd w:fill="ECE8DE" w:color="auto" w:val="clear"/>
            <w:tcMar>
              <w:top w:type="dxa" w:w="95"/>
              <w:left w:type="dxa" w:w="120"/>
              <w:bottom w:type="dxa" w:w="95"/>
              <w:right w:type="dxa" w:w="120"/>
            </w:tcMar>
          </w:tcPr>
          <w:p>
            <w:pPr>
              <w:spacing w:after="0" w:line="255"/>
              <w:jc w:val="left"/>
            </w:pPr>
            <w:r>
              <w:rPr>
                <w:b/>
                <w:bCs/>
                <w:color w:val="16181D"/>
                <w:sz w:val="19"/>
                <w:szCs w:val="19"/>
              </w:rPr>
              <w:t xml:space="preserve">Table</w:t>
            </w:r>
          </w:p>
        </w:tc>
        <w:tc>
          <w:tcPr>
            <w:tcW w:type="dxa" w:w="15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Rows</w:t>
            </w:r>
          </w:p>
        </w:tc>
        <w:tc>
          <w:tcPr>
            <w:tcW w:type="dxa" w:w="5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Coverage</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sale_items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266,348</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2023-01-03 to 2026-10-15</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sales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153,047</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2023-01-03 to 2026-10-15</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products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9,805</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2026-07-16 to 2026-10-16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customers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7,909</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2026-07-15 to 2026-08-15</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job_runs_history</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2,228</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2026-07-15 to 2026-10-16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client_activity_log</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710</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2026-09-16 to 2026-10-16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suppliers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14</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2026-07-16 to 2026-07-16</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jobs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5</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2026-10-16 to 2026-10-16</w:t>
            </w:r>
          </w:p>
        </w:tc>
      </w:tr>
      <w:tr>
        <w:tc>
          <w:tcPr>
            <w:tcW w:type="dxa" w:w="3100"/>
            <w:tcMar>
              <w:top w:type="dxa" w:w="95"/>
              <w:left w:type="dxa" w:w="120"/>
              <w:bottom w:type="dxa" w:w="95"/>
              <w:right w:type="dxa" w:w="120"/>
            </w:tcMar>
          </w:tcPr>
          <w:p>
            <w:pPr>
              <w:spacing w:after="0" w:line="255"/>
              <w:jc w:val="left"/>
            </w:pPr>
            <w:r>
              <w:rPr>
                <w:b w:val="false"/>
                <w:bCs w:val="false"/>
                <w:color w:val="16181D"/>
                <w:sz w:val="19"/>
                <w:szCs w:val="19"/>
              </w:rPr>
              <w:t xml:space="preserve">purchases</w:t>
            </w:r>
          </w:p>
        </w:tc>
        <w:tc>
          <w:tcPr>
            <w:tcW w:type="dxa" w:w="1500"/>
            <w:tcMar>
              <w:top w:type="dxa" w:w="95"/>
              <w:left w:type="dxa" w:w="120"/>
              <w:bottom w:type="dxa" w:w="95"/>
              <w:right w:type="dxa" w:w="120"/>
            </w:tcMar>
          </w:tcPr>
          <w:p>
            <w:pPr>
              <w:spacing w:after="0" w:line="255"/>
              <w:jc w:val="right"/>
            </w:pPr>
            <w:r>
              <w:rPr>
                <w:b w:val="false"/>
                <w:bCs w:val="false"/>
                <w:color w:val="16181D"/>
                <w:sz w:val="19"/>
                <w:szCs w:val="19"/>
              </w:rPr>
              <w:t xml:space="preserve">2</w:t>
            </w:r>
          </w:p>
        </w:tc>
        <w:tc>
          <w:tcPr>
            <w:tcW w:type="dxa" w:w="5040"/>
            <w:tcMar>
              <w:top w:type="dxa" w:w="95"/>
              <w:left w:type="dxa" w:w="120"/>
              <w:bottom w:type="dxa" w:w="95"/>
              <w:right w:type="dxa" w:w="120"/>
            </w:tcMar>
          </w:tcPr>
          <w:p>
            <w:pPr>
              <w:spacing w:after="0" w:line="255"/>
              <w:jc w:val="left"/>
            </w:pPr>
            <w:r>
              <w:rPr>
                <w:b w:val="false"/>
                <w:bCs w:val="false"/>
                <w:color w:val="16181D"/>
                <w:sz w:val="19"/>
                <w:szCs w:val="19"/>
              </w:rPr>
              <w:t xml:space="preserve">2020-05-13 to 2020-05-13</w:t>
            </w:r>
          </w:p>
        </w:tc>
      </w:tr>
      <w:tr>
        <w:tc>
          <w:tcPr>
            <w:tcW w:type="dxa" w:w="31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client_du_alerts</w:t>
            </w:r>
          </w:p>
        </w:tc>
        <w:tc>
          <w:tcPr>
            <w:tcW w:type="dxa" w:w="1500"/>
            <w:shd w:fill="FBFAF7" w:color="auto" w:val="clear"/>
            <w:tcMar>
              <w:top w:type="dxa" w:w="95"/>
              <w:left w:type="dxa" w:w="120"/>
              <w:bottom w:type="dxa" w:w="95"/>
              <w:right w:type="dxa" w:w="120"/>
            </w:tcMar>
          </w:tcPr>
          <w:p>
            <w:pPr>
              <w:spacing w:after="0" w:line="255"/>
              <w:jc w:val="right"/>
            </w:pPr>
            <w:r>
              <w:rPr>
                <w:b w:val="false"/>
                <w:bCs w:val="false"/>
                <w:color w:val="16181D"/>
                <w:sz w:val="19"/>
                <w:szCs w:val="19"/>
              </w:rPr>
              <w:t xml:space="preserve">1</w:t>
            </w:r>
          </w:p>
        </w:tc>
        <w:tc>
          <w:tcPr>
            <w:tcW w:type="dxa" w:w="5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2026-08-24 to 2026-08-24</w:t>
            </w:r>
          </w:p>
        </w:tc>
      </w:tr>
    </w:tbl>
    <w:p>
      <w:pPr>
        <w:pStyle w:val="ListParagraph"/>
        <w:numPr>
          <w:ilvl w:val="0"/>
          <w:numId w:val="2"/>
        </w:numPr>
        <w:spacing w:after="95" w:line="300"/>
      </w:pPr>
      <w:r>
        <w:rPr>
          <w:b w:val="false"/>
          <w:bCs w:val="false"/>
          <w:color w:val="16181D"/>
          <w:sz w:val="21"/>
          <w:szCs w:val="21"/>
        </w:rPr>
        <w:t xml:space="preserve">Customers: 7,909 records, last updated 2026-08-15, so the list has not moved in two months and cannot show churn.</w:t>
      </w:r>
    </w:p>
    <w:p>
      <w:pPr>
        <w:pStyle w:val="ListParagraph"/>
        <w:numPr>
          <w:ilvl w:val="0"/>
          <w:numId w:val="2"/>
        </w:numPr>
        <w:spacing w:after="95" w:line="300"/>
      </w:pPr>
      <w:r>
        <w:rPr>
          <w:b w:val="false"/>
          <w:bCs w:val="false"/>
          <w:color w:val="16181D"/>
          <w:sz w:val="21"/>
          <w:szCs w:val="21"/>
        </w:rPr>
        <w:t xml:space="preserve">Customer linkage is better than it first looks and worse than 100%. Every receipt carries a customer_id, but 39.8% of them are id 101, "Cash Customer", which is a payment label rather than a person. Filtering it the way the engine does leaves 60.2% of receipts attached to a real customer, and 55.6% of customer records reachable by phone or email.</w:t>
      </w:r>
    </w:p>
    <w:p>
      <w:pPr>
        <w:pStyle w:val="ListParagraph"/>
        <w:numPr>
          <w:ilvl w:val="0"/>
          <w:numId w:val="2"/>
        </w:numPr>
        <w:spacing w:after="95" w:line="300"/>
      </w:pPr>
      <w:r>
        <w:rPr>
          <w:b w:val="false"/>
          <w:bCs w:val="false"/>
          <w:color w:val="16181D"/>
          <w:sz w:val="21"/>
          <w:szCs w:val="21"/>
        </w:rPr>
        <w:t xml:space="preserve">1,236 of 4,970 sold SKUs have 30 or more selling days, which is what bounds per-SKU forecasting.</w:t>
      </w:r>
    </w:p>
    <w:p>
      <w:pPr>
        <w:pStyle w:val="ListParagraph"/>
        <w:numPr>
          <w:ilvl w:val="0"/>
          <w:numId w:val="2"/>
        </w:numPr>
        <w:spacing w:after="95" w:line="300"/>
      </w:pPr>
      <w:r>
        <w:rPr>
          <w:b w:val="false"/>
          <w:bCs w:val="false"/>
          <w:color w:val="16181D"/>
          <w:sz w:val="21"/>
          <w:szCs w:val="21"/>
        </w:rPr>
        <w:t xml:space="preserve">Sales integrity is excellent: 0 voids, 0 blank SKUs, 0 null subtotals, cost on 93.3% of lines.</w:t>
      </w:r>
    </w:p>
    <w:p>
      <w:pPr>
        <w:pStyle w:val="Heading1"/>
        <w:pBdr>
          <w:bottom w:val="single" w:color="D2CEC4" w:sz="6" w:space="6"/>
        </w:pBdr>
        <w:spacing w:after="150" w:before="380"/>
      </w:pPr>
      <w:r>
        <w:rPr>
          <w:b/>
          <w:bCs/>
          <w:color w:val="16181D"/>
          <w:sz w:val="29"/>
          <w:szCs w:val="29"/>
        </w:rPr>
        <w:t xml:space="preserve">6. Engine confidence score</w:t>
      </w:r>
    </w:p>
    <w:tbl>
      <w:tblPr>
        <w:tblW w:type="dxa" w:w="9640"/>
        <w:tblBorders>
          <w:top w:val="single" w:color="D2CEC4" w:sz="2"/>
          <w:left w:val="single" w:color="155724" w:sz="14"/>
          <w:bottom w:val="single" w:color="D2CEC4" w:sz="2"/>
          <w:right w:val="single" w:color="D2CEC4" w:sz="2"/>
          <w:insideH w:val="none"/>
          <w:insideV w:val="none"/>
        </w:tblBorders>
      </w:tblPr>
      <w:tblGrid>
        <w:gridCol w:w="9640"/>
      </w:tblGrid>
      <w:tr>
        <w:tc>
          <w:tcPr>
            <w:tcW w:type="dxa" w:w="9640"/>
            <w:shd w:fill="EEF3EC" w:color="auto" w:val="clear"/>
            <w:tcMar>
              <w:top w:type="dxa" w:w="180"/>
              <w:left w:type="dxa" w:w="210"/>
              <w:bottom w:type="dxa" w:w="180"/>
              <w:right w:type="dxa" w:w="210"/>
            </w:tcMar>
          </w:tcPr>
          <w:p>
            <w:pPr>
              <w:spacing w:after="105" w:line="300"/>
            </w:pPr>
            <w:r>
              <w:rPr>
                <w:b/>
                <w:bCs/>
                <w:color w:val="16181D"/>
                <w:sz w:val="21"/>
                <w:szCs w:val="21"/>
              </w:rPr>
              <w:t xml:space="preserve">Engine confidence: 83.4 out of 100 (high).</w:t>
            </w:r>
          </w:p>
          <w:p>
            <w:pPr>
              <w:spacing w:after="105" w:line="300"/>
            </w:pPr>
            <w:r>
              <w:rPr>
                <w:b w:val="false"/>
                <w:bCs w:val="false"/>
                <w:color w:val="16181D"/>
                <w:sz w:val="21"/>
                <w:szCs w:val="21"/>
              </w:rPr>
              <w:t xml:space="preserve">85.9 measured performance multiplied by 97.2% evidence sufficiency.</w:t>
            </w:r>
          </w:p>
          <w:p>
            <w:pPr>
              <w:spacing w:after="0" w:line="300"/>
            </w:pPr>
            <w:r>
              <w:rPr>
                <w:b w:val="false"/>
                <w:bCs w:val="false"/>
                <w:color w:val="16181D"/>
                <w:sz w:val="21"/>
                <w:szCs w:val="21"/>
              </w:rPr>
              <w:t xml:space="preserve">A product rather than an average, because confidence requires both performance and evidence. Unlike a young store, both halves here are substantial, which is why this is the first store assessed where the score is worth acting on.</w:t>
            </w:r>
          </w:p>
        </w:tc>
      </w:tr>
    </w:tbl>
    <w:p>
      <w:pPr>
        <w:pStyle w:val="Heading2"/>
        <w:spacing w:after="110" w:before="290"/>
      </w:pPr>
      <w:r>
        <w:rPr>
          <w:b/>
          <w:bCs/>
          <w:color w:val="2E4057"/>
          <w:sz w:val="24"/>
          <w:szCs w:val="24"/>
        </w:rPr>
        <w:t xml:space="preserve">Measured performance</w:t>
      </w:r>
    </w:p>
    <w:tbl>
      <w:tblPr>
        <w:tblW w:type="dxa" w:w="9640"/>
        <w:tblBorders>
          <w:top w:val="single" w:color="D2CEC4" w:sz="4"/>
          <w:left w:val="none"/>
          <w:bottom w:val="single" w:color="D2CEC4" w:sz="4"/>
          <w:right w:val="none"/>
          <w:insideH w:val="single" w:color="E8E4DB" w:sz="2"/>
          <w:insideV w:val="none"/>
        </w:tblBorders>
      </w:tblPr>
      <w:tblGrid>
        <w:gridCol w:w="2700"/>
        <w:gridCol w:w="900"/>
        <w:gridCol w:w="6040"/>
      </w:tblGrid>
      <w:tr>
        <w:trPr>
          <w:tblHeader/>
        </w:trPr>
        <w:tc>
          <w:tcPr>
            <w:tcW w:type="dxa" w:w="270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Component</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Basis</w:t>
            </w:r>
          </w:p>
        </w:tc>
      </w:tr>
      <w:tr>
        <w:tc>
          <w:tcPr>
            <w:tcW w:type="dxa" w:w="2700"/>
            <w:tcMar>
              <w:top w:type="dxa" w:w="95"/>
              <w:left w:type="dxa" w:w="120"/>
              <w:bottom w:type="dxa" w:w="95"/>
              <w:right w:type="dxa" w:w="120"/>
            </w:tcMar>
          </w:tcPr>
          <w:p>
            <w:pPr>
              <w:spacing w:after="0" w:line="255"/>
              <w:jc w:val="left"/>
            </w:pPr>
            <w:r>
              <w:rPr>
                <w:b w:val="false"/>
                <w:bCs w:val="false"/>
                <w:color w:val="16181D"/>
                <w:sz w:val="19"/>
                <w:szCs w:val="19"/>
              </w:rPr>
              <w:t xml:space="preserve">Forecast skill vs trailing-28</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mean WAPE edge 13.2 points, and the engine is the best model at all 4 horizons against all three baselines</w:t>
            </w:r>
          </w:p>
        </w:tc>
      </w:tr>
      <w:tr>
        <w:tc>
          <w:tcPr>
            <w:tcW w:type="dxa" w:w="2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Bias control vs trailing-28</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76.1</w:t>
            </w:r>
          </w:p>
        </w:tc>
        <w:tc>
          <w:tcPr>
            <w:tcW w:type="dxa" w:w="6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engine bias averages 5.6% against the baseline's 23.6%</w:t>
            </w:r>
          </w:p>
        </w:tc>
      </w:tr>
      <w:tr>
        <w:tc>
          <w:tcPr>
            <w:tcW w:type="dxa" w:w="2700"/>
            <w:tcMar>
              <w:top w:type="dxa" w:w="95"/>
              <w:left w:type="dxa" w:w="120"/>
              <w:bottom w:type="dxa" w:w="95"/>
              <w:right w:type="dxa" w:w="120"/>
            </w:tcMar>
          </w:tcPr>
          <w:p>
            <w:pPr>
              <w:spacing w:after="0" w:line="255"/>
              <w:jc w:val="left"/>
            </w:pPr>
            <w:r>
              <w:rPr>
                <w:b w:val="false"/>
                <w:bCs w:val="false"/>
                <w:color w:val="16181D"/>
                <w:sz w:val="19"/>
                <w:szCs w:val="19"/>
              </w:rPr>
              <w:t xml:space="preserve">Prediction interval honesty</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98.6</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coverage sits 0.57 points from the 80% promised, averaged over four horizons</w:t>
            </w:r>
          </w:p>
        </w:tc>
      </w:tr>
      <w:tr>
        <w:tc>
          <w:tcPr>
            <w:tcW w:type="dxa" w:w="2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Pick quality vs the reversion-matched null</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68.8</w:t>
            </w:r>
          </w:p>
        </w:tc>
        <w:tc>
          <w:tcPr>
            <w:tcW w:type="dxa" w:w="6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hit rate 78.0% against a 59.2% null, edge 18.8 points on 1,040 cards at p=0.0005</w:t>
            </w:r>
          </w:p>
        </w:tc>
      </w:tr>
      <w:tr>
        <w:tc>
          <w:tcPr>
            <w:tcW w:type="dxa" w:w="2700"/>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tcMar>
              <w:top w:type="dxa" w:w="95"/>
              <w:left w:type="dxa" w:w="120"/>
              <w:bottom w:type="dxa" w:w="95"/>
              <w:right w:type="dxa" w:w="120"/>
            </w:tcMar>
          </w:tcPr>
          <w:p>
            <w:pPr>
              <w:spacing w:after="0" w:line="255"/>
              <w:jc w:val="right"/>
            </w:pPr>
            <w:r>
              <w:rPr>
                <w:b/>
                <w:bCs/>
                <w:color w:val="16181D"/>
                <w:sz w:val="19"/>
                <w:szCs w:val="19"/>
              </w:rPr>
              <w:t xml:space="preserve">85.9</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equally weighted</w:t>
            </w:r>
          </w:p>
        </w:tc>
      </w:tr>
    </w:tbl>
    <w:p>
      <w:pPr>
        <w:pStyle w:val="Heading2"/>
        <w:spacing w:after="110" w:before="290"/>
      </w:pPr>
      <w:r>
        <w:rPr>
          <w:b/>
          <w:bCs/>
          <w:color w:val="2E4057"/>
          <w:sz w:val="24"/>
          <w:szCs w:val="24"/>
        </w:rPr>
        <w:t xml:space="preserve">Evidence sufficiency</w:t>
      </w:r>
    </w:p>
    <w:tbl>
      <w:tblPr>
        <w:tblW w:type="dxa" w:w="9640"/>
        <w:tblBorders>
          <w:top w:val="single" w:color="D2CEC4" w:sz="4"/>
          <w:left w:val="none"/>
          <w:bottom w:val="single" w:color="D2CEC4" w:sz="4"/>
          <w:right w:val="none"/>
          <w:insideH w:val="single" w:color="E8E4DB" w:sz="2"/>
          <w:insideV w:val="none"/>
        </w:tblBorders>
      </w:tblPr>
      <w:tblGrid>
        <w:gridCol w:w="2700"/>
        <w:gridCol w:w="900"/>
        <w:gridCol w:w="6040"/>
      </w:tblGrid>
      <w:tr>
        <w:trPr>
          <w:tblHeader/>
        </w:trPr>
        <w:tc>
          <w:tcPr>
            <w:tcW w:type="dxa" w:w="270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Component</w:t>
            </w:r>
          </w:p>
        </w:tc>
        <w:tc>
          <w:tcPr>
            <w:tcW w:type="dxa" w:w="900"/>
            <w:shd w:fill="ECE8DE" w:color="auto" w:val="clear"/>
            <w:tcMar>
              <w:top w:type="dxa" w:w="95"/>
              <w:left w:type="dxa" w:w="120"/>
              <w:bottom w:type="dxa" w:w="95"/>
              <w:right w:type="dxa" w:w="120"/>
            </w:tcMar>
          </w:tcPr>
          <w:p>
            <w:pPr>
              <w:spacing w:after="0" w:line="255"/>
              <w:jc w:val="right"/>
            </w:pPr>
            <w:r>
              <w:rPr>
                <w:b/>
                <w:bCs/>
                <w:color w:val="16181D"/>
                <w:sz w:val="19"/>
                <w:szCs w:val="19"/>
              </w:rPr>
              <w:t xml:space="preserve">Score</w:t>
            </w:r>
          </w:p>
        </w:tc>
        <w:tc>
          <w:tcPr>
            <w:tcW w:type="dxa" w:w="6040"/>
            <w:shd w:fill="ECE8DE" w:color="auto" w:val="clear"/>
            <w:tcMar>
              <w:top w:type="dxa" w:w="95"/>
              <w:left w:type="dxa" w:w="120"/>
              <w:bottom w:type="dxa" w:w="95"/>
              <w:right w:type="dxa" w:w="120"/>
            </w:tcMar>
          </w:tcPr>
          <w:p>
            <w:pPr>
              <w:spacing w:after="0" w:line="255"/>
              <w:jc w:val="left"/>
            </w:pPr>
            <w:r>
              <w:rPr>
                <w:b/>
                <w:bCs/>
                <w:color w:val="16181D"/>
                <w:sz w:val="19"/>
                <w:szCs w:val="19"/>
              </w:rPr>
              <w:t xml:space="preserve">Basis</w:t>
            </w:r>
          </w:p>
        </w:tc>
      </w:tr>
      <w:tr>
        <w:tc>
          <w:tcPr>
            <w:tcW w:type="dxa" w:w="2700"/>
            <w:tcMar>
              <w:top w:type="dxa" w:w="95"/>
              <w:left w:type="dxa" w:w="120"/>
              <w:bottom w:type="dxa" w:w="95"/>
              <w:right w:type="dxa" w:w="120"/>
            </w:tcMar>
          </w:tcPr>
          <w:p>
            <w:pPr>
              <w:spacing w:after="0" w:line="255"/>
              <w:jc w:val="left"/>
            </w:pPr>
            <w:r>
              <w:rPr>
                <w:b w:val="false"/>
                <w:bCs w:val="false"/>
                <w:color w:val="16181D"/>
                <w:sz w:val="19"/>
                <w:szCs w:val="19"/>
              </w:rPr>
              <w:t xml:space="preserve">Trading history</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1,381 days of span against the 492 the production backtest requires. This store clears the bar outright</w:t>
            </w:r>
          </w:p>
        </w:tc>
      </w:tr>
      <w:tr>
        <w:tc>
          <w:tcPr>
            <w:tcW w:type="dxa" w:w="2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Backtest decision dates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55 dates, two weeks apart, so they do not overlap</w:t>
            </w:r>
          </w:p>
        </w:tc>
      </w:tr>
      <w:tr>
        <w:tc>
          <w:tcPr>
            <w:tcW w:type="dxa" w:w="2700"/>
            <w:tcMar>
              <w:top w:type="dxa" w:w="95"/>
              <w:left w:type="dxa" w:w="120"/>
              <w:bottom w:type="dxa" w:w="95"/>
              <w:right w:type="dxa" w:w="120"/>
            </w:tcMar>
          </w:tcPr>
          <w:p>
            <w:pPr>
              <w:spacing w:after="0" w:line="255"/>
              <w:jc w:val="left"/>
            </w:pPr>
            <w:r>
              <w:rPr>
                <w:b w:val="false"/>
                <w:bCs w:val="false"/>
                <w:color w:val="16181D"/>
                <w:sz w:val="19"/>
                <w:szCs w:val="19"/>
              </w:rPr>
              <w:t xml:space="preserve">Backtest scored cards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1,040 cards against the 100 at which a rate first narrows enough to quote</w:t>
            </w:r>
          </w:p>
        </w:tc>
      </w:tr>
      <w:tr>
        <w:tc>
          <w:tcPr>
            <w:tcW w:type="dxa" w:w="2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Forecastable SKUs</w:t>
            </w:r>
          </w:p>
        </w:tc>
        <w:tc>
          <w:tcPr>
            <w:tcW w:type="dxa" w:w="900"/>
            <w:shd w:fill="FBFAF7" w:color="auto" w:val="clear"/>
            <w:tcMar>
              <w:top w:type="dxa" w:w="95"/>
              <w:left w:type="dxa" w:w="120"/>
              <w:bottom w:type="dxa" w:w="95"/>
              <w:right w:type="dxa" w:w="120"/>
            </w:tcMar>
          </w:tcPr>
          <w:p>
            <w:pPr>
              <w:spacing w:after="0" w:line="255"/>
              <w:jc w:val="right"/>
            </w:pPr>
            <w:r>
              <w:rPr>
                <w:b w:val="false"/>
                <w:bCs w:val="false"/>
                <w:color w:val="155724"/>
                <w:sz w:val="19"/>
                <w:szCs w:val="19"/>
              </w:rPr>
              <w:t xml:space="preserve">100.0</w:t>
            </w:r>
          </w:p>
        </w:tc>
        <w:tc>
          <w:tcPr>
            <w:tcW w:type="dxa" w:w="6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1,236 SKUs sold on 30 or more days, of 4,970 sold at all</w:t>
            </w:r>
          </w:p>
        </w:tc>
      </w:tr>
      <w:tr>
        <w:tc>
          <w:tcPr>
            <w:tcW w:type="dxa" w:w="2700"/>
            <w:tcMar>
              <w:top w:type="dxa" w:w="95"/>
              <w:left w:type="dxa" w:w="120"/>
              <w:bottom w:type="dxa" w:w="95"/>
              <w:right w:type="dxa" w:w="120"/>
            </w:tcMar>
          </w:tcPr>
          <w:p>
            <w:pPr>
              <w:spacing w:after="0" w:line="255"/>
              <w:jc w:val="left"/>
            </w:pPr>
            <w:r>
              <w:rPr>
                <w:b w:val="false"/>
                <w:bCs w:val="false"/>
                <w:color w:val="16181D"/>
                <w:sz w:val="19"/>
                <w:szCs w:val="19"/>
              </w:rPr>
              <w:t xml:space="preserve">Forward-test closed windows</w:t>
            </w:r>
          </w:p>
        </w:tc>
        <w:tc>
          <w:tcPr>
            <w:tcW w:type="dxa" w:w="900"/>
            <w:tcMar>
              <w:top w:type="dxa" w:w="95"/>
              <w:left w:type="dxa" w:w="120"/>
              <w:bottom w:type="dxa" w:w="95"/>
              <w:right w:type="dxa" w:w="120"/>
            </w:tcMar>
          </w:tcPr>
          <w:p>
            <w:pPr>
              <w:spacing w:after="0" w:line="255"/>
              <w:jc w:val="right"/>
            </w:pPr>
            <w:r>
              <w:rPr>
                <w:b w:val="false"/>
                <w:bCs w:val="false"/>
                <w:color w:val="155724"/>
                <w:sz w:val="19"/>
                <w:szCs w:val="19"/>
              </w:rPr>
              <w:t xml:space="preserve">85.8</w:t>
            </w:r>
          </w:p>
        </w:tc>
        <w:tc>
          <w:tcPr>
            <w:tcW w:type="dxa" w:w="6040"/>
            <w:tcMar>
              <w:top w:type="dxa" w:w="95"/>
              <w:left w:type="dxa" w:w="120"/>
              <w:bottom w:type="dxa" w:w="95"/>
              <w:right w:type="dxa" w:w="120"/>
            </w:tcMar>
          </w:tcPr>
          <w:p>
            <w:pPr>
              <w:spacing w:after="0" w:line="255"/>
              <w:jc w:val="left"/>
            </w:pPr>
            <w:r>
              <w:rPr>
                <w:b w:val="false"/>
                <w:bCs w:val="false"/>
                <w:color w:val="16181D"/>
                <w:sz w:val="19"/>
                <w:szCs w:val="19"/>
              </w:rPr>
              <w:t xml:space="preserve">175 of 204 issued cards have a closed 7-open-day window; no card has yet closed a 30-day one</w:t>
            </w:r>
          </w:p>
        </w:tc>
      </w:tr>
      <w:tr>
        <w:tc>
          <w:tcPr>
            <w:tcW w:type="dxa" w:w="2700"/>
            <w:shd w:fill="FBFAF7" w:color="auto" w:val="clear"/>
            <w:tcMar>
              <w:top w:type="dxa" w:w="95"/>
              <w:left w:type="dxa" w:w="120"/>
              <w:bottom w:type="dxa" w:w="95"/>
              <w:right w:type="dxa" w:w="120"/>
            </w:tcMar>
          </w:tcPr>
          <w:p>
            <w:pPr>
              <w:spacing w:after="0" w:line="255"/>
              <w:jc w:val="left"/>
            </w:pPr>
            <w:r>
              <w:rPr>
                <w:b/>
                <w:bCs/>
                <w:color w:val="16181D"/>
                <w:sz w:val="19"/>
                <w:szCs w:val="19"/>
              </w:rPr>
              <w:t xml:space="preserve">Mean</w:t>
            </w:r>
          </w:p>
        </w:tc>
        <w:tc>
          <w:tcPr>
            <w:tcW w:type="dxa" w:w="900"/>
            <w:shd w:fill="FBFAF7" w:color="auto" w:val="clear"/>
            <w:tcMar>
              <w:top w:type="dxa" w:w="95"/>
              <w:left w:type="dxa" w:w="120"/>
              <w:bottom w:type="dxa" w:w="95"/>
              <w:right w:type="dxa" w:w="120"/>
            </w:tcMar>
          </w:tcPr>
          <w:p>
            <w:pPr>
              <w:spacing w:after="0" w:line="255"/>
              <w:jc w:val="right"/>
            </w:pPr>
            <w:r>
              <w:rPr>
                <w:b/>
                <w:bCs/>
                <w:color w:val="16181D"/>
                <w:sz w:val="19"/>
                <w:szCs w:val="19"/>
              </w:rPr>
              <w:t xml:space="preserve">97.2</w:t>
            </w:r>
          </w:p>
        </w:tc>
        <w:tc>
          <w:tcPr>
            <w:tcW w:type="dxa" w:w="60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every bar is the measurement's own requirement</w:t>
            </w:r>
          </w:p>
        </w:tc>
      </w:tr>
    </w:tbl>
    <w:p>
      <w:pPr>
        <w:pStyle w:val="Heading1"/>
        <w:pBdr>
          <w:bottom w:val="single" w:color="D2CEC4" w:sz="6" w:space="6"/>
        </w:pBdr>
        <w:spacing w:after="150" w:before="380"/>
      </w:pPr>
      <w:r>
        <w:rPr>
          <w:b/>
          <w:bCs/>
          <w:color w:val="16181D"/>
          <w:sz w:val="29"/>
          <w:szCs w:val="29"/>
        </w:rPr>
        <w:t xml:space="preserve">7. What to do</w:t>
      </w:r>
    </w:p>
    <w:p>
      <w:pPr>
        <w:pStyle w:val="ListParagraph"/>
        <w:numPr>
          <w:ilvl w:val="0"/>
          <w:numId w:val="2"/>
        </w:numPr>
        <w:spacing w:after="95" w:line="300"/>
      </w:pPr>
      <w:r>
        <w:rPr>
          <w:b/>
          <w:bCs/>
          <w:color w:val="16181D"/>
          <w:sz w:val="21"/>
          <w:szCs w:val="21"/>
        </w:rPr>
        <w:t xml:space="preserve">Check the card confidence number and the 0.35 admission floor. The ordering is inverted on 168 volume-matched cards, and the gate uses it to decide what an owner sees.</w:t>
      </w:r>
    </w:p>
    <w:p>
      <w:pPr>
        <w:pStyle w:val="ListParagraph"/>
        <w:numPr>
          <w:ilvl w:val="0"/>
          <w:numId w:val="2"/>
        </w:numPr>
        <w:spacing w:after="95" w:line="300"/>
      </w:pPr>
      <w:r>
        <w:rPr>
          <w:b w:val="false"/>
          <w:bCs w:val="false"/>
          <w:color w:val="16181D"/>
          <w:sz w:val="21"/>
          <w:szCs w:val="21"/>
        </w:rPr>
        <w:t xml:space="preserve">Fix the receiving feed. Two rows dated 2020 means the order policy runs without lead time. Unlike history, this will not improve on its own.</w:t>
      </w:r>
    </w:p>
    <w:p>
      <w:pPr>
        <w:pStyle w:val="ListParagraph"/>
        <w:numPr>
          <w:ilvl w:val="0"/>
          <w:numId w:val="2"/>
        </w:numPr>
        <w:spacing w:after="95" w:line="300"/>
      </w:pPr>
      <w:r>
        <w:rPr>
          <w:b w:val="false"/>
          <w:bCs w:val="false"/>
          <w:color w:val="16181D"/>
          <w:sz w:val="21"/>
          <w:szCs w:val="21"/>
        </w:rPr>
        <w:t xml:space="preserve">Re-run the forward test in late November, when the first 30-open-day windows close. That is the point at which forward and backward measurement can be compared on the same horizon.</w:t>
      </w:r>
    </w:p>
    <w:p>
      <w:pPr>
        <w:pStyle w:val="ListParagraph"/>
        <w:numPr>
          <w:ilvl w:val="0"/>
          <w:numId w:val="2"/>
        </w:numPr>
        <w:spacing w:after="95" w:line="300"/>
      </w:pPr>
      <w:r>
        <w:rPr>
          <w:b w:val="false"/>
          <w:bCs w:val="false"/>
          <w:color w:val="16181D"/>
          <w:sz w:val="21"/>
          <w:szCs w:val="21"/>
        </w:rPr>
        <w:t xml:space="preserve">Refresh the customer feed, which has held one load since mid-August.</w:t>
      </w:r>
    </w:p>
    <w:p>
      <w:pPr>
        <w:pStyle w:val="ListParagraph"/>
        <w:numPr>
          <w:ilvl w:val="0"/>
          <w:numId w:val="2"/>
        </w:numPr>
        <w:spacing w:after="95" w:line="300"/>
      </w:pPr>
      <w:r>
        <w:rPr>
          <w:b w:val="false"/>
          <w:bCs w:val="false"/>
          <w:color w:val="16181D"/>
          <w:sz w:val="21"/>
          <w:szCs w:val="21"/>
        </w:rPr>
        <w:t xml:space="preserve">Leave the forecaster alone. It is the best of five models at every horizon, its intervals are calibrated to within a point, and the seasonal candidate that was tested against it lost at all four horizons.</w:t>
      </w:r>
    </w:p>
    <w:p>
      <w:pPr>
        <w:pStyle w:val="Heading1"/>
        <w:pBdr>
          <w:bottom w:val="single" w:color="D2CEC4" w:sz="6" w:space="6"/>
        </w:pBdr>
        <w:spacing w:after="150" w:before="380"/>
      </w:pPr>
      <w:r>
        <w:rPr>
          <w:b/>
          <w:bCs/>
          <w:color w:val="16181D"/>
          <w:sz w:val="29"/>
          <w:szCs w:val="29"/>
        </w:rPr>
        <w:t xml:space="preserve">Method</w:t>
      </w:r>
    </w:p>
    <w:tbl>
      <w:tblPr>
        <w:tblW w:type="dxa" w:w="9640"/>
        <w:tblBorders>
          <w:top w:val="single" w:color="D2CEC4" w:sz="4"/>
          <w:left w:val="none"/>
          <w:bottom w:val="single" w:color="D2CEC4" w:sz="4"/>
          <w:right w:val="none"/>
          <w:insideH w:val="single" w:color="E8E4DB" w:sz="2"/>
          <w:insideV w:val="none"/>
        </w:tblBorders>
      </w:tblPr>
      <w:tblGrid>
        <w:gridCol w:w="1700"/>
        <w:gridCol w:w="7940"/>
      </w:tblGrid>
      <w:tr>
        <w:trPr>
          <w:tblHeader/>
        </w:trPr>
        <w:tc>
          <w:tcPr>
            <w:tcW w:type="dxa" w:w="1700"/>
            <w:shd w:fill="ECE8DE" w:color="auto" w:val="clear"/>
            <w:tcMar>
              <w:top w:type="dxa" w:w="95"/>
              <w:left w:type="dxa" w:w="120"/>
              <w:bottom w:type="dxa" w:w="95"/>
              <w:right w:type="dxa" w:w="120"/>
            </w:tcMar>
          </w:tcPr>
          <w:p>
            <w:pPr>
              <w:spacing w:after="0" w:line="255"/>
              <w:jc w:val="left"/>
            </w:pPr>
            <w:r>
              <w:rPr>
                <w:b/>
                <w:bCs/>
                <w:color w:val="16181D"/>
                <w:sz w:val="19"/>
                <w:szCs w:val="19"/>
              </w:rPr>
              <w:t xml:space="preserve">Step</w:t>
            </w:r>
          </w:p>
        </w:tc>
        <w:tc>
          <w:tcPr>
            <w:tcW w:type="dxa" w:w="7940"/>
            <w:shd w:fill="ECE8DE" w:color="auto" w:val="clear"/>
            <w:tcMar>
              <w:top w:type="dxa" w:w="95"/>
              <w:left w:type="dxa" w:w="120"/>
              <w:bottom w:type="dxa" w:w="95"/>
              <w:right w:type="dxa" w:w="120"/>
            </w:tcMar>
          </w:tcPr>
          <w:p>
            <w:pPr>
              <w:spacing w:after="0" w:line="255"/>
              <w:jc w:val="left"/>
            </w:pPr>
            <w:r>
              <w:rPr>
                <w:b/>
                <w:bCs/>
                <w:color w:val="16181D"/>
                <w:sz w:val="19"/>
                <w:szCs w:val="19"/>
              </w:rPr>
              <w:t xml:space="preserve">Command</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Export</w:t>
            </w:r>
          </w:p>
        </w:tc>
        <w:tc>
          <w:tcPr>
            <w:tcW w:type="dxa" w:w="7940"/>
            <w:tcMar>
              <w:top w:type="dxa" w:w="95"/>
              <w:left w:type="dxa" w:w="120"/>
              <w:bottom w:type="dxa" w:w="95"/>
              <w:right w:type="dxa" w:w="120"/>
            </w:tcMar>
          </w:tcPr>
          <w:p>
            <w:pPr>
              <w:spacing w:after="0" w:line="255"/>
              <w:jc w:val="left"/>
            </w:pPr>
            <w:r>
              <w:rPr>
                <w:b w:val="false"/>
                <w:bCs w:val="false"/>
                <w:color w:val="16181D"/>
                <w:sz w:val="19"/>
                <w:szCs w:val="19"/>
              </w:rPr>
              <w:t xml:space="preserve">node backend/scripts/export-store-sales.js --locations 171,188 --out ../audit/stores/data</w:t>
            </w:r>
          </w:p>
        </w:tc>
      </w:tr>
      <w:tr>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Data audit</w:t>
            </w:r>
          </w:p>
        </w:tc>
        <w:tc>
          <w:tcPr>
            <w:tcW w:type="dxa" w:w="79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python scripts/audit_store_data.py --store 171 --out ../audit/stores/data_audit_171.json</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Backtest</w:t>
            </w:r>
          </w:p>
        </w:tc>
        <w:tc>
          <w:tcPr>
            <w:tcW w:type="dxa" w:w="7940"/>
            <w:tcMar>
              <w:top w:type="dxa" w:w="95"/>
              <w:left w:type="dxa" w:w="120"/>
              <w:bottom w:type="dxa" w:w="95"/>
              <w:right w:type="dxa" w:w="120"/>
            </w:tcMar>
          </w:tcPr>
          <w:p>
            <w:pPr>
              <w:spacing w:after="0" w:line="255"/>
              <w:jc w:val="left"/>
            </w:pPr>
            <w:r>
              <w:rPr>
                <w:b w:val="false"/>
                <w:bCs w:val="false"/>
                <w:color w:val="16181D"/>
                <w:sz w:val="19"/>
                <w:szCs w:val="19"/>
              </w:rPr>
              <w:t xml:space="preserve">python scripts/real_engine_backtest.py --data ../audit/stores/data --file store_171_sale_items.csv.gz --store "Bethany Discount Liquor" --every 14</w:t>
            </w:r>
          </w:p>
        </w:tc>
      </w:tr>
      <w:tr>
        <w:tc>
          <w:tcPr>
            <w:tcW w:type="dxa" w:w="170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Forecast accuracy</w:t>
            </w:r>
          </w:p>
        </w:tc>
        <w:tc>
          <w:tcPr>
            <w:tcW w:type="dxa" w:w="7940"/>
            <w:shd w:fill="FBFAF7" w:color="auto" w:val="clear"/>
            <w:tcMar>
              <w:top w:type="dxa" w:w="95"/>
              <w:left w:type="dxa" w:w="120"/>
              <w:bottom w:type="dxa" w:w="95"/>
              <w:right w:type="dxa" w:w="120"/>
            </w:tcMar>
          </w:tcPr>
          <w:p>
            <w:pPr>
              <w:spacing w:after="0" w:line="255"/>
              <w:jc w:val="left"/>
            </w:pPr>
            <w:r>
              <w:rPr>
                <w:b w:val="false"/>
                <w:bCs w:val="false"/>
                <w:color w:val="16181D"/>
                <w:sz w:val="19"/>
                <w:szCs w:val="19"/>
              </w:rPr>
              <w:t xml:space="preserve">python scripts/forecast_accuracy.py --data ../audit/stores/data --file store_171_sale_items.csv.gz --every 14</w:t>
            </w:r>
          </w:p>
        </w:tc>
      </w:tr>
      <w:tr>
        <w:tc>
          <w:tcPr>
            <w:tcW w:type="dxa" w:w="1700"/>
            <w:tcMar>
              <w:top w:type="dxa" w:w="95"/>
              <w:left w:type="dxa" w:w="120"/>
              <w:bottom w:type="dxa" w:w="95"/>
              <w:right w:type="dxa" w:w="120"/>
            </w:tcMar>
          </w:tcPr>
          <w:p>
            <w:pPr>
              <w:spacing w:after="0" w:line="255"/>
              <w:jc w:val="left"/>
            </w:pPr>
            <w:r>
              <w:rPr>
                <w:b w:val="false"/>
                <w:bCs w:val="false"/>
                <w:color w:val="16181D"/>
                <w:sz w:val="19"/>
                <w:szCs w:val="19"/>
              </w:rPr>
              <w:t xml:space="preserve">Forward test</w:t>
            </w:r>
          </w:p>
        </w:tc>
        <w:tc>
          <w:tcPr>
            <w:tcW w:type="dxa" w:w="7940"/>
            <w:tcMar>
              <w:top w:type="dxa" w:w="95"/>
              <w:left w:type="dxa" w:w="120"/>
              <w:bottom w:type="dxa" w:w="95"/>
              <w:right w:type="dxa" w:w="120"/>
            </w:tcMar>
          </w:tcPr>
          <w:p>
            <w:pPr>
              <w:spacing w:after="0" w:line="255"/>
              <w:jc w:val="left"/>
            </w:pPr>
            <w:r>
              <w:rPr>
                <w:b w:val="false"/>
                <w:bCs w:val="false"/>
                <w:color w:val="16181D"/>
                <w:sz w:val="19"/>
                <w:szCs w:val="19"/>
              </w:rPr>
              <w:t xml:space="preserve">node backend/scripts/forward-test.js --stores 171 --window-days 7 --since-days 120</w:t>
            </w:r>
          </w:p>
        </w:tc>
      </w:tr>
    </w:tbl>
    <w:p>
      <w:pPr>
        <w:spacing w:after="135" w:line="300"/>
      </w:pPr>
      <w:r>
        <w:rPr>
          <w:b w:val="false"/>
          <w:bCs w:val="false"/>
          <w:i w:val="false"/>
          <w:iCs w:val="false"/>
          <w:color w:val="585C66"/>
          <w:sz w:val="18"/>
          <w:szCs w:val="18"/>
        </w:rPr>
        <w:t xml:space="preserve">Export: 266,348 lines, 4,964 products, cost on 99.8% of sold lines, 36 lines refused by the data contract. Engine settings: materiality floor 8 units, minimum hit probability 0.5, baseline window 28 days, 10 cards per run, 400 null baskets.</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Bethany Discount Liquor - Engine Assessment</dc:title>
  <dc:creator>Botella AI</dc:creator>
  <dc:description>Data audit, production backtest and forward test for store 171.</dc:description>
  <cp:lastModifiedBy>Un-named</cp:lastModifiedBy>
  <cp:revision>1</cp:revision>
  <dcterms:created xsi:type="dcterms:W3CDTF">2026-10-19T09:33:10.069Z</dcterms:created>
  <dcterms:modified xsi:type="dcterms:W3CDTF">2026-10-19T09:33:10.070Z</dcterms:modified>
</cp:coreProperties>
</file>

<file path=docProps/custom.xml><?xml version="1.0" encoding="utf-8"?>
<Properties xmlns="http://schemas.openxmlformats.org/officeDocument/2006/custom-properties" xmlns:vt="http://schemas.openxmlformats.org/officeDocument/2006/docPropsVTypes"/>
</file>