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5A5A"/>
          <w:spacing w:val="24"/>
          <w:sz w:val="18"/>
          <w:szCs w:val="18"/>
        </w:rPr>
        <w:t xml:space="preserve">BOTELLA ENGINE  /  BACKTEST</w:t>
      </w:r>
    </w:p>
    <w:p>
      <w:pPr>
        <w:spacing w:after="90"/>
      </w:pPr>
      <w:r>
        <w:rPr>
          <w:b/>
          <w:bCs/>
          <w:color w:val="1A1A1A"/>
          <w:sz w:val="44"/>
          <w:szCs w:val="44"/>
        </w:rPr>
        <w:t xml:space="preserve">Tuscany Liquors</w:t>
      </w:r>
    </w:p>
    <w:p>
      <w:pPr>
        <w:spacing w:after="110" w:line="300"/>
      </w:pPr>
      <w:r>
        <w:rPr>
          <w:color w:val="5A5A5A"/>
          <w:sz w:val="23"/>
          <w:szCs w:val="23"/>
        </w:rPr>
        <w:t xml:space="preserve">What the engine can and cannot be shown to do at this store, and why.</w:t>
      </w:r>
    </w:p>
    <w:p>
      <w:pPr>
        <w:pBdr>
          <w:bottom w:val="single" w:color="1A1A1A" w:sz="10" w:space="6"/>
        </w:pBdr>
        <w:spacing w:after="220"/>
      </w:pPr>
      <w:r>
        <w:rPr>
          <w:color w:val="5A5A5A"/>
          <w:sz w:val="18"/>
          <w:szCs w:val="18"/>
        </w:rPr>
        <w:t xml:space="preserve">Store 173 (tuscanyliquors)  -  data 2026-07-05 to 2026-10-13  -  report 2026-10-15</w:t>
      </w:r>
    </w:p>
    <w:p>
      <w:pPr>
        <w:pStyle w:val="Heading1"/>
        <w:spacing w:after="140" w:before="360"/>
      </w:pPr>
      <w:r>
        <w:rPr>
          <w:b/>
          <w:bCs/>
          <w:color w:val="1A1A1A"/>
          <w:sz w:val="30"/>
          <w:szCs w:val="30"/>
        </w:rPr>
        <w:t xml:space="preserve">Verdict</w:t>
      </w:r>
    </w:p>
    <w:tbl>
      <w:tblPr>
        <w:tblW w:type="dxa" w:w="9360"/>
        <w:tblBorders>
          <w:top w:val="single" w:color="C8C8C8" w:sz="2"/>
          <w:left w:val="single" w:color="8A7B55" w:sz="12"/>
          <w:bottom w:val="single" w:color="C8C8C8" w:sz="2"/>
          <w:right w:val="single" w:color="C8C8C8" w:sz="2"/>
          <w:insideH w:val="none"/>
          <w:insideV w:val="none"/>
        </w:tblBorders>
      </w:tblPr>
      <w:tblGrid>
        <w:gridCol w:w="9360"/>
      </w:tblGrid>
      <w:tr>
        <w:tc>
          <w:tcPr>
            <w:tcW w:type="dxa" w:w="9360"/>
            <w:shd w:fill="F4F0E6" w:color="auto" w:val="clear"/>
            <w:tcMar>
              <w:top w:type="dxa" w:w="170"/>
              <w:left w:type="dxa" w:w="200"/>
              <w:bottom w:type="dxa" w:w="170"/>
              <w:right w:type="dxa" w:w="200"/>
            </w:tcMar>
          </w:tcPr>
          <w:p>
            <w:pPr>
              <w:spacing w:after="100" w:line="300"/>
            </w:pPr>
            <w:r>
              <w:rPr>
                <w:b/>
                <w:bCs/>
                <w:color w:val="1A1A1A"/>
                <w:sz w:val="21"/>
                <w:szCs w:val="21"/>
              </w:rPr>
              <w:t xml:space="preserve">The production backtest cannot be run at this store, and that is not a failure of the engine.</w:t>
            </w:r>
          </w:p>
          <w:p>
            <w:pPr>
              <w:spacing w:after="100" w:line="300"/>
            </w:pPr>
            <w:r>
              <w:rPr>
                <w:b w:val="false"/>
                <w:bCs w:val="false"/>
                <w:color w:val="1A1A1A"/>
                <w:sz w:val="21"/>
                <w:szCs w:val="21"/>
              </w:rPr>
              <w:t xml:space="preserve">It requires 492 days of trading history per decision date (370 behind, so the engine's long-run rate has a full year, plus 122 ahead, so the outcome window has closed). Tuscany has 100. It is short by 392 days, and both production scripts correctly refuse to produce a number.</w:t>
            </w:r>
          </w:p>
          <w:p>
            <w:pPr>
              <w:spacing w:after="100" w:line="300"/>
            </w:pPr>
            <w:r>
              <w:rPr>
                <w:b/>
                <w:bCs/>
                <w:color w:val="1A1A1A"/>
                <w:sz w:val="21"/>
                <w:szCs w:val="21"/>
              </w:rPr>
              <w:t xml:space="preserve">Measured on shortened windows instead, the two halves of the engine give opposite answers.</w:t>
            </w:r>
          </w:p>
          <w:p>
            <w:pPr>
              <w:spacing w:after="100" w:line="300"/>
            </w:pPr>
            <w:r>
              <w:rPr>
                <w:b w:val="false"/>
                <w:bCs w:val="false"/>
                <w:color w:val="1A1A1A"/>
                <w:sz w:val="21"/>
                <w:szCs w:val="21"/>
              </w:rPr>
              <w:t xml:space="preserve">The FORECASTER is sound: it beats the only independent baseline at all three horizons and cuts forecast bias by roughly two thirds. The RECOMMENDER has no usable evidence base here: it issues 1.2 cards per run, and the 18 cards it did issue hit 22.2% against a reversion-matched null of 53.2%.</w:t>
            </w:r>
          </w:p>
          <w:p>
            <w:pPr>
              <w:spacing w:after="0" w:line="300"/>
            </w:pPr>
            <w:r>
              <w:rPr>
                <w:b/>
                <w:bCs/>
                <w:color w:val="8A4B08"/>
                <w:sz w:val="21"/>
                <w:szCs w:val="21"/>
              </w:rPr>
              <w:t xml:space="preserve">With n=18, that hit rate cannot be distinguished from chance. It is not evidence that the engine is wrong here; it is evidence that there is not yet enough history to tell.</w:t>
            </w:r>
          </w:p>
        </w:tc>
      </w:tr>
    </w:tbl>
    <w:p>
      <w:pPr>
        <w:pStyle w:val="Heading1"/>
        <w:spacing w:after="140" w:before="360"/>
      </w:pPr>
      <w:r>
        <w:rPr>
          <w:b/>
          <w:bCs/>
          <w:color w:val="1A1A1A"/>
          <w:sz w:val="30"/>
          <w:szCs w:val="30"/>
        </w:rPr>
        <w:t xml:space="preserve">What "confidence" means, because it means four different things</w:t>
      </w:r>
    </w:p>
    <w:p>
      <w:pPr>
        <w:spacing w:after="130" w:line="300"/>
      </w:pPr>
      <w:r>
        <w:rPr>
          <w:b w:val="false"/>
          <w:bCs w:val="false"/>
          <w:i w:val="false"/>
          <w:iCs w:val="false"/>
          <w:color w:val="1A1A1A"/>
          <w:sz w:val="21"/>
          <w:szCs w:val="21"/>
        </w:rPr>
        <w:t xml:space="preserve">The word appears in four places in this product, measuring four unrelated things on different scales. They are routinely read as one number. They are not, and the rest of this report is unreadable until they are separated.</w:t>
      </w:r>
    </w:p>
    <w:tbl>
      <w:tblPr>
        <w:tblW w:type="dxa" w:w="9360"/>
        <w:tblBorders>
          <w:top w:val="single" w:color="C8C8C8" w:sz="4"/>
          <w:left w:val="none"/>
          <w:bottom w:val="single" w:color="C8C8C8" w:sz="4"/>
          <w:right w:val="none"/>
          <w:insideH w:val="single" w:color="E4E0D8" w:sz="2"/>
          <w:insideV w:val="none"/>
        </w:tblBorders>
      </w:tblPr>
      <w:tblGrid>
        <w:gridCol w:w="2200"/>
        <w:gridCol w:w="3500"/>
        <w:gridCol w:w="1700"/>
        <w:gridCol w:w="1960"/>
      </w:tblGrid>
      <w:tr>
        <w:trPr>
          <w:tblHeader/>
        </w:trPr>
        <w:tc>
          <w:tcPr>
            <w:tcW w:type="dxa" w:w="220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Where it appears</w:t>
            </w:r>
          </w:p>
        </w:tc>
        <w:tc>
          <w:tcPr>
            <w:tcW w:type="dxa" w:w="350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What it is</w:t>
            </w:r>
          </w:p>
        </w:tc>
        <w:tc>
          <w:tcPr>
            <w:tcW w:type="dxa" w:w="1700"/>
            <w:shd w:fill="EFEAE0" w:color="auto" w:val="clear"/>
            <w:tcMar>
              <w:top w:type="dxa" w:w="90"/>
              <w:left w:type="dxa" w:w="120"/>
              <w:bottom w:type="dxa" w:w="90"/>
              <w:right w:type="dxa" w:w="120"/>
            </w:tcMar>
          </w:tcPr>
          <w:p>
            <w:pPr>
              <w:spacing w:after="0" w:line="260"/>
              <w:jc w:val="left"/>
            </w:pPr>
            <w:r>
              <w:rPr>
                <w:b/>
                <w:bCs/>
                <w:color w:val="1A1A1A"/>
                <w:sz w:val="19"/>
                <w:szCs w:val="19"/>
              </w:rPr>
              <w:t xml:space="preserve">Scale</w:t>
            </w:r>
          </w:p>
        </w:tc>
        <w:tc>
          <w:tcPr>
            <w:tcW w:type="dxa" w:w="1960"/>
            <w:shd w:fill="EFEAE0" w:color="auto" w:val="clear"/>
            <w:tcMar>
              <w:top w:type="dxa" w:w="90"/>
              <w:left w:type="dxa" w:w="120"/>
              <w:bottom w:type="dxa" w:w="90"/>
              <w:right w:type="dxa" w:w="120"/>
            </w:tcMar>
          </w:tcPr>
          <w:p>
            <w:pPr>
              <w:spacing w:after="0" w:line="260"/>
              <w:jc w:val="left"/>
            </w:pPr>
            <w:r>
              <w:rPr>
                <w:b/>
                <w:bCs/>
                <w:color w:val="1A1A1A"/>
                <w:sz w:val="19"/>
                <w:szCs w:val="19"/>
              </w:rPr>
              <w:t xml:space="preserve">At Tuscany</w:t>
            </w:r>
          </w:p>
        </w:tc>
      </w:tr>
      <w:tr>
        <w:tc>
          <w:tcPr>
            <w:tcW w:type="dxa" w:w="2200"/>
            <w:tcMar>
              <w:top w:type="dxa" w:w="90"/>
              <w:left w:type="dxa" w:w="120"/>
              <w:bottom w:type="dxa" w:w="90"/>
              <w:right w:type="dxa" w:w="120"/>
            </w:tcMar>
          </w:tcPr>
          <w:p>
            <w:pPr>
              <w:spacing w:after="0" w:line="260"/>
              <w:jc w:val="left"/>
            </w:pPr>
            <w:r>
              <w:rPr>
                <w:b w:val="false"/>
                <w:bCs w:val="false"/>
                <w:color w:val="1A1A1A"/>
                <w:sz w:val="19"/>
                <w:szCs w:val="19"/>
              </w:rPr>
              <w:t xml:space="preserve">On a card, next to the advice</w:t>
            </w:r>
          </w:p>
        </w:tc>
        <w:tc>
          <w:tcPr>
            <w:tcW w:type="dxa" w:w="3500"/>
            <w:tcMar>
              <w:top w:type="dxa" w:w="90"/>
              <w:left w:type="dxa" w:w="120"/>
              <w:bottom w:type="dxa" w:w="90"/>
              <w:right w:type="dxa" w:w="120"/>
            </w:tcMar>
          </w:tcPr>
          <w:p>
            <w:pPr>
              <w:spacing w:after="0" w:line="260"/>
              <w:jc w:val="left"/>
            </w:pPr>
            <w:r>
              <w:rPr>
                <w:b w:val="false"/>
                <w:bCs w:val="false"/>
                <w:color w:val="1A1A1A"/>
                <w:sz w:val="19"/>
                <w:szCs w:val="19"/>
              </w:rPr>
              <w:t xml:space="preserve">The engine's own per-card number, and the one the admission gate filters on at a 0.35 floor. Its derivation varies card by card and is recorded in `confidence_basis` - see the table below.</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0 to 1</w:t>
            </w:r>
          </w:p>
        </w:tc>
        <w:tc>
          <w:tcPr>
            <w:tcW w:type="dxa" w:w="1960"/>
            <w:tcMar>
              <w:top w:type="dxa" w:w="90"/>
              <w:left w:type="dxa" w:w="120"/>
              <w:bottom w:type="dxa" w:w="90"/>
              <w:right w:type="dxa" w:w="120"/>
            </w:tcMar>
          </w:tcPr>
          <w:p>
            <w:pPr>
              <w:spacing w:after="0" w:line="260"/>
              <w:jc w:val="left"/>
            </w:pPr>
            <w:r>
              <w:rPr>
                <w:b w:val="false"/>
                <w:bCs w:val="false"/>
                <w:color w:val="8A4B08"/>
                <w:sz w:val="19"/>
                <w:szCs w:val="19"/>
              </w:rPr>
              <w:t xml:space="preserve">Not a probability. 9 of 10 cards carry a raw ranking score.</w:t>
            </w:r>
          </w:p>
        </w:tc>
      </w:tr>
      <w:tr>
        <w:tc>
          <w:tcPr>
            <w:tcW w:type="dxa" w:w="22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Around a forecast (p10 to p90)</w:t>
            </w:r>
          </w:p>
        </w:tc>
        <w:tc>
          <w:tcPr>
            <w:tcW w:type="dxa" w:w="3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How often the actual figure falls inside the stated range. The only one of the four that is a textbook statistical confidence, and the only one that is verifiably well behaved here.</w:t>
            </w:r>
          </w:p>
        </w:tc>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 of outcomes inside an 80% range</w:t>
            </w:r>
          </w:p>
        </w:tc>
        <w:tc>
          <w:tcPr>
            <w:tcW w:type="dxa" w:w="1960"/>
            <w:shd w:fill="FAF8F4" w:color="auto" w:val="clear"/>
            <w:tcMar>
              <w:top w:type="dxa" w:w="90"/>
              <w:left w:type="dxa" w:w="120"/>
              <w:bottom w:type="dxa" w:w="90"/>
              <w:right w:type="dxa" w:w="120"/>
            </w:tcMar>
          </w:tcPr>
          <w:p>
            <w:pPr>
              <w:spacing w:after="0" w:line="260"/>
              <w:jc w:val="left"/>
            </w:pPr>
            <w:r>
              <w:rPr>
                <w:b w:val="false"/>
                <w:bCs w:val="false"/>
                <w:color w:val="1B5E20"/>
                <w:sz w:val="19"/>
                <w:szCs w:val="19"/>
              </w:rPr>
              <w:t xml:space="preserve">79.0% at 20 days against an 80% target. Sound.</w:t>
            </w:r>
          </w:p>
        </w:tc>
      </w:tr>
      <w:tr>
        <w:tc>
          <w:tcPr>
            <w:tcW w:type="dxa" w:w="2200"/>
            <w:tcMar>
              <w:top w:type="dxa" w:w="90"/>
              <w:left w:type="dxa" w:w="120"/>
              <w:bottom w:type="dxa" w:w="90"/>
              <w:right w:type="dxa" w:w="120"/>
            </w:tcMar>
          </w:tcPr>
          <w:p>
            <w:pPr>
              <w:spacing w:after="0" w:line="260"/>
              <w:jc w:val="left"/>
            </w:pPr>
            <w:r>
              <w:rPr>
                <w:b w:val="false"/>
                <w:bCs w:val="false"/>
                <w:color w:val="1A1A1A"/>
                <w:sz w:val="19"/>
                <w:szCs w:val="19"/>
              </w:rPr>
              <w:t xml:space="preserve">Engine confidence score (this report)</w:t>
            </w:r>
          </w:p>
        </w:tc>
        <w:tc>
          <w:tcPr>
            <w:tcW w:type="dxa" w:w="3500"/>
            <w:tcMar>
              <w:top w:type="dxa" w:w="90"/>
              <w:left w:type="dxa" w:w="120"/>
              <w:bottom w:type="dxa" w:w="90"/>
              <w:right w:type="dxa" w:w="120"/>
            </w:tcMar>
          </w:tcPr>
          <w:p>
            <w:pPr>
              <w:spacing w:after="0" w:line="260"/>
              <w:jc w:val="left"/>
            </w:pPr>
            <w:r>
              <w:rPr>
                <w:b w:val="false"/>
                <w:bCs w:val="false"/>
                <w:color w:val="1A1A1A"/>
                <w:sz w:val="19"/>
                <w:szCs w:val="19"/>
              </w:rPr>
              <w:t xml:space="preserve">How much the engine may be RELIED ON at this store. Measured performance multiplied by how much evidence exists. Not a probability and not a grade.</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0 to 100</w:t>
            </w:r>
          </w:p>
        </w:tc>
        <w:tc>
          <w:tcPr>
            <w:tcW w:type="dxa" w:w="1960"/>
            <w:tcMar>
              <w:top w:type="dxa" w:w="90"/>
              <w:left w:type="dxa" w:w="120"/>
              <w:bottom w:type="dxa" w:w="90"/>
              <w:right w:type="dxa" w:w="120"/>
            </w:tcMar>
          </w:tcPr>
          <w:p>
            <w:pPr>
              <w:spacing w:after="0" w:line="260"/>
              <w:jc w:val="left"/>
            </w:pPr>
            <w:r>
              <w:rPr>
                <w:b w:val="false"/>
                <w:bCs w:val="false"/>
                <w:color w:val="8A4B08"/>
                <w:sz w:val="19"/>
                <w:szCs w:val="19"/>
              </w:rPr>
              <w:t xml:space="preserve">12.8, i.e. insufficient evidence.</w:t>
            </w:r>
          </w:p>
        </w:tc>
      </w:tr>
      <w:tr>
        <w:tc>
          <w:tcPr>
            <w:tcW w:type="dxa" w:w="22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Data confidence score (companion report)</w:t>
            </w:r>
          </w:p>
        </w:tc>
        <w:tc>
          <w:tcPr>
            <w:tcW w:type="dxa" w:w="3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How far the FEEDS can support any analysis at all. About the data, not the engine.</w:t>
            </w:r>
          </w:p>
        </w:tc>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0 to 100</w:t>
            </w:r>
          </w:p>
        </w:tc>
        <w:tc>
          <w:tcPr>
            <w:tcW w:type="dxa" w:w="19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46.4, dragged down by receiving and customer linkage.</w:t>
            </w:r>
          </w:p>
        </w:tc>
      </w:tr>
    </w:tbl>
    <w:p>
      <w:pPr>
        <w:pStyle w:val="Heading2"/>
        <w:spacing w:after="110" w:before="280"/>
      </w:pPr>
      <w:r>
        <w:rPr>
          <w:b/>
          <w:bCs/>
          <w:color w:val="1A1A1A"/>
          <w:sz w:val="25"/>
          <w:szCs w:val="25"/>
        </w:rPr>
        <w:t xml:space="preserve">The card-level number is the one to distrust</w:t>
      </w:r>
    </w:p>
    <w:p>
      <w:pPr>
        <w:spacing w:after="130" w:line="300"/>
      </w:pPr>
      <w:r>
        <w:rPr>
          <w:b w:val="false"/>
          <w:bCs w:val="false"/>
          <w:i w:val="false"/>
          <w:iCs w:val="false"/>
          <w:color w:val="1A1A1A"/>
          <w:sz w:val="21"/>
          <w:szCs w:val="21"/>
        </w:rPr>
        <w:t xml:space="preserve">Every card records how its confidence was derived. Across the estate those derivations are not comparable with each other, and most are not probabilities:</w:t>
      </w:r>
    </w:p>
    <w:tbl>
      <w:tblPr>
        <w:tblW w:type="dxa" w:w="9360"/>
        <w:tblBorders>
          <w:top w:val="single" w:color="C8C8C8" w:sz="4"/>
          <w:left w:val="none"/>
          <w:bottom w:val="single" w:color="C8C8C8" w:sz="4"/>
          <w:right w:val="none"/>
          <w:insideH w:val="single" w:color="E4E0D8" w:sz="2"/>
          <w:insideV w:val="none"/>
        </w:tblBorders>
      </w:tblPr>
      <w:tblGrid>
        <w:gridCol w:w="1700"/>
        <w:gridCol w:w="800"/>
        <w:gridCol w:w="800"/>
        <w:gridCol w:w="1500"/>
        <w:gridCol w:w="4560"/>
      </w:tblGrid>
      <w:tr>
        <w:trPr>
          <w:tblHeader/>
        </w:trPr>
        <w:tc>
          <w:tcPr>
            <w:tcW w:type="dxa" w:w="1700"/>
            <w:shd w:fill="EFEAE0" w:color="auto" w:val="clear"/>
            <w:tcMar>
              <w:top w:type="dxa" w:w="90"/>
              <w:left w:type="dxa" w:w="120"/>
              <w:bottom w:type="dxa" w:w="90"/>
              <w:right w:type="dxa" w:w="120"/>
            </w:tcMar>
          </w:tcPr>
          <w:p>
            <w:pPr>
              <w:spacing w:after="0" w:line="260"/>
              <w:jc w:val="left"/>
            </w:pPr>
            <w:r>
              <w:rPr>
                <w:b/>
                <w:bCs/>
                <w:color w:val="1A1A1A"/>
                <w:sz w:val="19"/>
                <w:szCs w:val="19"/>
              </w:rPr>
              <w:t xml:space="preserve">Recorded basis</w:t>
            </w:r>
          </w:p>
        </w:tc>
        <w:tc>
          <w:tcPr>
            <w:tcW w:type="dxa" w:w="8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Cards</w:t>
            </w:r>
          </w:p>
        </w:tc>
        <w:tc>
          <w:tcPr>
            <w:tcW w:type="dxa" w:w="8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Stores</w:t>
            </w:r>
          </w:p>
        </w:tc>
        <w:tc>
          <w:tcPr>
            <w:tcW w:type="dxa" w:w="1500"/>
            <w:shd w:fill="EFEAE0" w:color="auto" w:val="clear"/>
            <w:tcMar>
              <w:top w:type="dxa" w:w="90"/>
              <w:left w:type="dxa" w:w="120"/>
              <w:bottom w:type="dxa" w:w="90"/>
              <w:right w:type="dxa" w:w="120"/>
            </w:tcMar>
          </w:tcPr>
          <w:p>
            <w:pPr>
              <w:spacing w:after="0" w:line="260"/>
              <w:jc w:val="left"/>
            </w:pPr>
            <w:r>
              <w:rPr>
                <w:b/>
                <w:bCs/>
                <w:color w:val="1A1A1A"/>
                <w:sz w:val="19"/>
                <w:szCs w:val="19"/>
              </w:rPr>
              <w:t xml:space="preserve">Range</w:t>
            </w:r>
          </w:p>
        </w:tc>
        <w:tc>
          <w:tcPr>
            <w:tcW w:type="dxa" w:w="456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What it actually is</w:t>
            </w:r>
          </w:p>
        </w:tc>
      </w:tr>
      <w:tr>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not recorded</w:t>
            </w:r>
          </w:p>
        </w:tc>
        <w:tc>
          <w:tcPr>
            <w:tcW w:type="dxa" w:w="800"/>
            <w:tcMar>
              <w:top w:type="dxa" w:w="90"/>
              <w:left w:type="dxa" w:w="120"/>
              <w:bottom w:type="dxa" w:w="90"/>
              <w:right w:type="dxa" w:w="120"/>
            </w:tcMar>
          </w:tcPr>
          <w:p>
            <w:pPr>
              <w:spacing w:after="0" w:line="260"/>
              <w:jc w:val="right"/>
            </w:pPr>
            <w:r>
              <w:rPr>
                <w:b w:val="false"/>
                <w:bCs w:val="false"/>
                <w:color w:val="1A1A1A"/>
                <w:sz w:val="19"/>
                <w:szCs w:val="19"/>
              </w:rPr>
              <w:t xml:space="preserve">303</w:t>
            </w:r>
          </w:p>
        </w:tc>
        <w:tc>
          <w:tcPr>
            <w:tcW w:type="dxa" w:w="800"/>
            <w:tcMar>
              <w:top w:type="dxa" w:w="90"/>
              <w:left w:type="dxa" w:w="120"/>
              <w:bottom w:type="dxa" w:w="90"/>
              <w:right w:type="dxa" w:w="120"/>
            </w:tcMar>
          </w:tcPr>
          <w:p>
            <w:pPr>
              <w:spacing w:after="0" w:line="260"/>
              <w:jc w:val="right"/>
            </w:pPr>
            <w:r>
              <w:rPr>
                <w:b w:val="false"/>
                <w:bCs w:val="false"/>
                <w:color w:val="1A1A1A"/>
                <w:sz w:val="19"/>
                <w:szCs w:val="19"/>
              </w:rPr>
              <w:t xml:space="preserve">13</w:t>
            </w:r>
          </w:p>
        </w:tc>
        <w:tc>
          <w:tcPr>
            <w:tcW w:type="dxa" w:w="1500"/>
            <w:tcMar>
              <w:top w:type="dxa" w:w="90"/>
              <w:left w:type="dxa" w:w="120"/>
              <w:bottom w:type="dxa" w:w="90"/>
              <w:right w:type="dxa" w:w="120"/>
            </w:tcMar>
          </w:tcPr>
          <w:p>
            <w:pPr>
              <w:spacing w:after="0" w:line="260"/>
              <w:jc w:val="left"/>
            </w:pPr>
            <w:r>
              <w:rPr>
                <w:b w:val="false"/>
                <w:bCs w:val="false"/>
                <w:color w:val="1A1A1A"/>
                <w:sz w:val="19"/>
                <w:szCs w:val="19"/>
              </w:rPr>
              <w:t xml:space="preserve">0.064 to 0.999</w:t>
            </w:r>
          </w:p>
        </w:tc>
        <w:tc>
          <w:tcPr>
            <w:tcW w:type="dxa" w:w="4560"/>
            <w:tcMar>
              <w:top w:type="dxa" w:w="90"/>
              <w:left w:type="dxa" w:w="120"/>
              <w:bottom w:type="dxa" w:w="90"/>
              <w:right w:type="dxa" w:w="120"/>
            </w:tcMar>
          </w:tcPr>
          <w:p>
            <w:pPr>
              <w:spacing w:after="0" w:line="260"/>
              <w:jc w:val="left"/>
            </w:pPr>
            <w:r>
              <w:rPr>
                <w:b w:val="false"/>
                <w:bCs w:val="false"/>
                <w:color w:val="1A1A1A"/>
                <w:sz w:val="19"/>
                <w:szCs w:val="19"/>
              </w:rPr>
              <w:t xml:space="preserve">No basis was recorded, so how the number was derived is not known from the data.</w:t>
            </w:r>
          </w:p>
        </w:tc>
      </w:tr>
      <w:tr>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isotonic_flat_slate</w:t>
            </w:r>
          </w:p>
        </w:tc>
        <w:tc>
          <w:tcPr>
            <w:tcW w:type="dxa" w:w="8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84</w:t>
            </w:r>
          </w:p>
        </w:tc>
        <w:tc>
          <w:tcPr>
            <w:tcW w:type="dxa" w:w="8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4</w:t>
            </w:r>
          </w:p>
        </w:tc>
        <w:tc>
          <w:tcPr>
            <w:tcW w:type="dxa" w:w="1500"/>
            <w:shd w:fill="FAF8F4" w:color="auto" w:val="clear"/>
            <w:tcMar>
              <w:top w:type="dxa" w:w="90"/>
              <w:left w:type="dxa" w:w="120"/>
              <w:bottom w:type="dxa" w:w="90"/>
              <w:right w:type="dxa" w:w="120"/>
            </w:tcMar>
          </w:tcPr>
          <w:p>
            <w:pPr>
              <w:spacing w:after="0" w:line="260"/>
              <w:jc w:val="left"/>
            </w:pPr>
            <w:r>
              <w:rPr>
                <w:b w:val="false"/>
                <w:bCs w:val="false"/>
                <w:color w:val="8A4B08"/>
                <w:sz w:val="19"/>
                <w:szCs w:val="19"/>
              </w:rPr>
              <w:t xml:space="preserve">0.444 (constant)</w:t>
            </w:r>
          </w:p>
        </w:tc>
        <w:tc>
          <w:tcPr>
            <w:tcW w:type="dxa" w:w="4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Isotonic again, flagged because the slate it was fitted on was flat. Also a single constant value.</w:t>
            </w:r>
          </w:p>
        </w:tc>
      </w:tr>
      <w:tr>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isotonic</w:t>
            </w:r>
          </w:p>
        </w:tc>
        <w:tc>
          <w:tcPr>
            <w:tcW w:type="dxa" w:w="800"/>
            <w:tcMar>
              <w:top w:type="dxa" w:w="90"/>
              <w:left w:type="dxa" w:w="120"/>
              <w:bottom w:type="dxa" w:w="90"/>
              <w:right w:type="dxa" w:w="120"/>
            </w:tcMar>
          </w:tcPr>
          <w:p>
            <w:pPr>
              <w:spacing w:after="0" w:line="260"/>
              <w:jc w:val="right"/>
            </w:pPr>
            <w:r>
              <w:rPr>
                <w:b w:val="false"/>
                <w:bCs w:val="false"/>
                <w:color w:val="1A1A1A"/>
                <w:sz w:val="19"/>
                <w:szCs w:val="19"/>
              </w:rPr>
              <w:t xml:space="preserve">55</w:t>
            </w:r>
          </w:p>
        </w:tc>
        <w:tc>
          <w:tcPr>
            <w:tcW w:type="dxa" w:w="800"/>
            <w:tcMar>
              <w:top w:type="dxa" w:w="90"/>
              <w:left w:type="dxa" w:w="120"/>
              <w:bottom w:type="dxa" w:w="90"/>
              <w:right w:type="dxa" w:w="120"/>
            </w:tcMar>
          </w:tcPr>
          <w:p>
            <w:pPr>
              <w:spacing w:after="0" w:line="260"/>
              <w:jc w:val="right"/>
            </w:pPr>
            <w:r>
              <w:rPr>
                <w:b w:val="false"/>
                <w:bCs w:val="false"/>
                <w:color w:val="1A1A1A"/>
                <w:sz w:val="19"/>
                <w:szCs w:val="19"/>
              </w:rPr>
              <w:t xml:space="preserve">2</w:t>
            </w:r>
          </w:p>
        </w:tc>
        <w:tc>
          <w:tcPr>
            <w:tcW w:type="dxa" w:w="1500"/>
            <w:tcMar>
              <w:top w:type="dxa" w:w="90"/>
              <w:left w:type="dxa" w:w="120"/>
              <w:bottom w:type="dxa" w:w="90"/>
              <w:right w:type="dxa" w:w="120"/>
            </w:tcMar>
          </w:tcPr>
          <w:p>
            <w:pPr>
              <w:spacing w:after="0" w:line="260"/>
              <w:jc w:val="left"/>
            </w:pPr>
            <w:r>
              <w:rPr>
                <w:b w:val="false"/>
                <w:bCs w:val="false"/>
                <w:color w:val="8A4B08"/>
                <w:sz w:val="19"/>
                <w:szCs w:val="19"/>
              </w:rPr>
              <w:t xml:space="preserve">0.444 (constant)</w:t>
            </w:r>
          </w:p>
        </w:tc>
        <w:tc>
          <w:tcPr>
            <w:tcW w:type="dxa" w:w="4560"/>
            <w:tcMar>
              <w:top w:type="dxa" w:w="90"/>
              <w:left w:type="dxa" w:w="120"/>
              <w:bottom w:type="dxa" w:w="90"/>
              <w:right w:type="dxa" w:w="120"/>
            </w:tcMar>
          </w:tcPr>
          <w:p>
            <w:pPr>
              <w:spacing w:after="0" w:line="260"/>
              <w:jc w:val="left"/>
            </w:pPr>
            <w:r>
              <w:rPr>
                <w:b w:val="false"/>
                <w:bCs w:val="false"/>
                <w:color w:val="1A1A1A"/>
                <w:sz w:val="19"/>
                <w:szCs w:val="19"/>
              </w:rPr>
              <w:t xml:space="preserve">Mapped to observed outcomes by isotonic regression, which is the correct method. It currently returns the SAME value for every card it touches, so the calibration has found nothing to discriminate on.</w:t>
            </w:r>
          </w:p>
        </w:tc>
      </w:tr>
      <w:tr>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raw_ranking_score</w:t>
            </w:r>
          </w:p>
        </w:tc>
        <w:tc>
          <w:tcPr>
            <w:tcW w:type="dxa" w:w="8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33</w:t>
            </w:r>
          </w:p>
        </w:tc>
        <w:tc>
          <w:tcPr>
            <w:tcW w:type="dxa" w:w="8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4</w:t>
            </w:r>
          </w:p>
        </w:tc>
        <w:tc>
          <w:tcPr>
            <w:tcW w:type="dxa" w:w="1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0.173 to 0.454</w:t>
            </w:r>
          </w:p>
        </w:tc>
        <w:tc>
          <w:tcPr>
            <w:tcW w:type="dxa" w:w="4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The engine's internal RANKING score, passed through unchanged. It orders cards against each other; it was never mapped to a probability, so it does not mean "this often succeeds".</w:t>
            </w:r>
          </w:p>
        </w:tc>
      </w:tr>
    </w:tbl>
    <w:p>
      <w:pPr>
        <w:spacing w:after="130" w:line="300"/>
      </w:pPr>
      <w:r>
        <w:rPr>
          <w:b w:val="false"/>
          <w:bCs w:val="false"/>
          <w:i w:val="false"/>
          <w:iCs w:val="false"/>
          <w:color w:val="1A1A1A"/>
          <w:sz w:val="21"/>
          <w:szCs w:val="21"/>
        </w:rPr>
        <w:t xml:space="preserve">The two isotonic rows are the ones that were calibrated properly, and both return a single constant value for every card - so where the method is right, it is currently finding nothing to tell cards apart. The 33 raw-ranking-score cards carry an ordering where a probability is expected, and the 303 with no recorded basis cannot be interpreted at all.</w:t>
      </w:r>
    </w:p>
    <w:p>
      <w:pPr>
        <w:pStyle w:val="Heading2"/>
        <w:spacing w:after="110" w:before="280"/>
      </w:pPr>
      <w:r>
        <w:rPr>
          <w:b/>
          <w:bCs/>
          <w:color w:val="1A1A1A"/>
          <w:sz w:val="25"/>
          <w:szCs w:val="25"/>
        </w:rPr>
        <w:t xml:space="preserve">What that means for Tuscany specifically</w:t>
      </w:r>
    </w:p>
    <w:tbl>
      <w:tblPr>
        <w:tblW w:type="dxa" w:w="9360"/>
        <w:tblBorders>
          <w:top w:val="single" w:color="C8C8C8" w:sz="4"/>
          <w:left w:val="none"/>
          <w:bottom w:val="single" w:color="C8C8C8" w:sz="4"/>
          <w:right w:val="none"/>
          <w:insideH w:val="single" w:color="E4E0D8" w:sz="2"/>
          <w:insideV w:val="none"/>
        </w:tblBorders>
      </w:tblPr>
      <w:tblGrid>
        <w:gridCol w:w="3400"/>
        <w:gridCol w:w="1500"/>
        <w:gridCol w:w="4460"/>
      </w:tblGrid>
      <w:tr>
        <w:trPr>
          <w:tblHeader/>
        </w:trPr>
        <w:tc>
          <w:tcPr>
            <w:tcW w:type="dxa" w:w="3400"/>
            <w:shd w:fill="EFEAE0" w:color="auto" w:val="clear"/>
            <w:tcMar>
              <w:top w:type="dxa" w:w="90"/>
              <w:left w:type="dxa" w:w="120"/>
              <w:bottom w:type="dxa" w:w="90"/>
              <w:right w:type="dxa" w:w="120"/>
            </w:tcMar>
          </w:tcPr>
          <w:p>
            <w:pPr>
              <w:spacing w:after="0" w:line="260"/>
              <w:jc w:val="left"/>
            </w:pPr>
            <w:r>
              <w:rPr>
                <w:b/>
                <w:bCs/>
                <w:color w:val="1A1A1A"/>
                <w:sz w:val="19"/>
                <w:szCs w:val="19"/>
              </w:rPr>
              <w:t xml:space="preserve">Basis</w:t>
            </w:r>
          </w:p>
        </w:tc>
        <w:tc>
          <w:tcPr>
            <w:tcW w:type="dxa" w:w="15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Cards</w:t>
            </w:r>
          </w:p>
        </w:tc>
        <w:tc>
          <w:tcPr>
            <w:tcW w:type="dxa" w:w="4460"/>
            <w:shd w:fill="EFEAE0" w:color="auto" w:val="clear"/>
            <w:tcMar>
              <w:top w:type="dxa" w:w="90"/>
              <w:left w:type="dxa" w:w="120"/>
              <w:bottom w:type="dxa" w:w="90"/>
              <w:right w:type="dxa" w:w="120"/>
            </w:tcMar>
          </w:tcPr>
          <w:p>
            <w:pPr>
              <w:spacing w:after="0" w:line="260"/>
              <w:jc w:val="left"/>
            </w:pPr>
            <w:r>
              <w:rPr>
                <w:b/>
                <w:bCs/>
                <w:color w:val="1A1A1A"/>
                <w:sz w:val="19"/>
                <w:szCs w:val="19"/>
              </w:rPr>
              <w:t xml:space="preserve">Range</w:t>
            </w:r>
          </w:p>
        </w:tc>
      </w:tr>
      <w:tr>
        <w:tc>
          <w:tcPr>
            <w:tcW w:type="dxa" w:w="3400"/>
            <w:tcMar>
              <w:top w:type="dxa" w:w="90"/>
              <w:left w:type="dxa" w:w="120"/>
              <w:bottom w:type="dxa" w:w="90"/>
              <w:right w:type="dxa" w:w="120"/>
            </w:tcMar>
          </w:tcPr>
          <w:p>
            <w:pPr>
              <w:spacing w:after="0" w:line="260"/>
              <w:jc w:val="left"/>
            </w:pPr>
            <w:r>
              <w:rPr>
                <w:b w:val="false"/>
                <w:bCs w:val="false"/>
                <w:color w:val="1A1A1A"/>
                <w:sz w:val="19"/>
                <w:szCs w:val="19"/>
              </w:rPr>
              <w:t xml:space="preserve">raw_ranking_score</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9</w:t>
            </w:r>
          </w:p>
        </w:tc>
        <w:tc>
          <w:tcPr>
            <w:tcW w:type="dxa" w:w="4460"/>
            <w:tcMar>
              <w:top w:type="dxa" w:w="90"/>
              <w:left w:type="dxa" w:w="120"/>
              <w:bottom w:type="dxa" w:w="90"/>
              <w:right w:type="dxa" w:w="120"/>
            </w:tcMar>
          </w:tcPr>
          <w:p>
            <w:pPr>
              <w:spacing w:after="0" w:line="260"/>
              <w:jc w:val="left"/>
            </w:pPr>
            <w:r>
              <w:rPr>
                <w:b w:val="false"/>
                <w:bCs w:val="false"/>
                <w:color w:val="1A1A1A"/>
                <w:sz w:val="19"/>
                <w:szCs w:val="19"/>
              </w:rPr>
              <w:t xml:space="preserve">0.231 to 0.432</w:t>
            </w:r>
          </w:p>
        </w:tc>
      </w:tr>
      <w:tr>
        <w:tc>
          <w:tcPr>
            <w:tcW w:type="dxa" w:w="34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not recorded</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w:t>
            </w:r>
          </w:p>
        </w:tc>
        <w:tc>
          <w:tcPr>
            <w:tcW w:type="dxa" w:w="44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0.921</w:t>
            </w:r>
          </w:p>
        </w:tc>
      </w:tr>
    </w:tbl>
    <w:p>
      <w:pPr>
        <w:spacing w:after="130" w:line="300"/>
      </w:pPr>
      <w:r>
        <w:rPr>
          <w:b/>
          <w:bCs/>
          <w:color w:val="1A1A1A"/>
          <w:sz w:val="21"/>
          <w:szCs w:val="21"/>
        </w:rPr>
        <w:t xml:space="preserve">So a Tuscany card showing confidence 0.43 is not saying "this works 43% of the time". </w:t>
      </w:r>
      <w:r>
        <w:rPr>
          <w:color w:val="1A1A1A"/>
          <w:sz w:val="21"/>
          <w:szCs w:val="21"/>
        </w:rPr>
        <w:t xml:space="preserve">It is showing the engine's ranking score for that card, on a scale that was never mapped to an outcome. The admission gate then withholds anything below 0.35 on that same unmapped scale, which is why nine of ten cards at this store never reach the screen.</w:t>
      </w:r>
    </w:p>
    <w:p>
      <w:pPr>
        <w:spacing w:after="130" w:line="300"/>
      </w:pPr>
      <w:r>
        <w:rPr>
          <w:b w:val="false"/>
          <w:bCs w:val="false"/>
          <w:i w:val="false"/>
          <w:iCs w:val="false"/>
          <w:color w:val="1A1A1A"/>
          <w:sz w:val="21"/>
          <w:szCs w:val="21"/>
        </w:rPr>
        <w:t xml:space="preserve">Independent support for distrusting it: the forward test over a different store with 110 scored cards found the stated number ANTI-correlated with outcomes - cards stating 0.23 met their forecast rate 50% of the time, those stating 0.34 managed 14.3%, and those stating 0.41 managed 7.1%. Those cards also had no recorded basis, so that result is a measurement of a number whose derivation is unknown, which is arguably the more serious finding of the two.</w:t>
      </w:r>
    </w:p>
    <w:p>
      <w:pPr>
        <w:pStyle w:val="Heading1"/>
        <w:spacing w:after="140" w:before="360"/>
      </w:pPr>
      <w:r>
        <w:rPr>
          <w:b/>
          <w:bCs/>
          <w:color w:val="1A1A1A"/>
          <w:sz w:val="30"/>
          <w:szCs w:val="30"/>
        </w:rPr>
        <w:t xml:space="preserve">Engine confidence score</w:t>
      </w:r>
    </w:p>
    <w:tbl>
      <w:tblPr>
        <w:tblW w:type="dxa" w:w="9360"/>
        <w:tblBorders>
          <w:top w:val="single" w:color="C8C8C8" w:sz="2"/>
          <w:left w:val="single" w:color="8A7B55" w:sz="12"/>
          <w:bottom w:val="single" w:color="C8C8C8" w:sz="2"/>
          <w:right w:val="single" w:color="C8C8C8" w:sz="2"/>
          <w:insideH w:val="none"/>
          <w:insideV w:val="none"/>
        </w:tblBorders>
      </w:tblPr>
      <w:tblGrid>
        <w:gridCol w:w="9360"/>
      </w:tblGrid>
      <w:tr>
        <w:tc>
          <w:tcPr>
            <w:tcW w:type="dxa" w:w="9360"/>
            <w:shd w:fill="F4F0E6" w:color="auto" w:val="clear"/>
            <w:tcMar>
              <w:top w:type="dxa" w:w="170"/>
              <w:left w:type="dxa" w:w="200"/>
              <w:bottom w:type="dxa" w:w="170"/>
              <w:right w:type="dxa" w:w="200"/>
            </w:tcMar>
          </w:tcPr>
          <w:p>
            <w:pPr>
              <w:spacing w:after="100" w:line="300"/>
            </w:pPr>
            <w:r>
              <w:rPr>
                <w:b/>
                <w:bCs/>
                <w:color w:val="1A1A1A"/>
                <w:sz w:val="21"/>
                <w:szCs w:val="21"/>
              </w:rPr>
              <w:t xml:space="preserve">Engine confidence at this store: 12.8 out of 100 (insufficient evidence).</w:t>
            </w:r>
          </w:p>
          <w:p>
            <w:pPr>
              <w:spacing w:after="100" w:line="300"/>
            </w:pPr>
            <w:r>
              <w:rPr>
                <w:b w:val="false"/>
                <w:bCs w:val="false"/>
                <w:color w:val="1A1A1A"/>
                <w:sz w:val="21"/>
                <w:szCs w:val="21"/>
              </w:rPr>
              <w:t xml:space="preserve">That is 57.7 for measured performance multiplied by 22.2% for evidence sufficiency.</w:t>
            </w:r>
          </w:p>
          <w:p>
            <w:pPr>
              <w:spacing w:after="100" w:line="300"/>
            </w:pPr>
            <w:r>
              <w:rPr>
                <w:b/>
                <w:bCs/>
                <w:color w:val="1A1A1A"/>
                <w:sz w:val="21"/>
                <w:szCs w:val="21"/>
              </w:rPr>
              <w:t xml:space="preserve">READ THE TWO HALVES, NOT THE PRODUCT. A low score here does not say the engine performs badly at Tuscany. It says we cannot yet claim it performs well, which is a different statement and the only one the data supports.</w:t>
            </w:r>
          </w:p>
          <w:p>
            <w:pPr>
              <w:spacing w:after="0" w:line="300"/>
            </w:pPr>
            <w:r>
              <w:rPr>
                <w:b w:val="false"/>
                <w:bCs w:val="false"/>
                <w:color w:val="1A1A1A"/>
                <w:sz w:val="21"/>
                <w:szCs w:val="21"/>
              </w:rPr>
              <w:t xml:space="preserve">The halves disagree sharply, and that disagreement is the finding: measured performance is 57.7 - middling, with the forecaster clearly positive and pick quality clearly negative - while evidence sufficiency is 22.2, because this store has 100 days of history and not one issued card has reached a closed outcome window.</w:t>
            </w:r>
          </w:p>
        </w:tc>
      </w:tr>
    </w:tbl>
    <w:p>
      <w:pPr>
        <w:spacing w:after="130" w:line="300"/>
      </w:pPr>
      <w:r>
        <w:rPr>
          <w:b w:val="false"/>
          <w:bCs w:val="false"/>
          <w:i w:val="false"/>
          <w:iCs w:val="false"/>
          <w:color w:val="1A1A1A"/>
          <w:sz w:val="21"/>
          <w:szCs w:val="21"/>
        </w:rPr>
        <w:t xml:space="preserve">A product rather than an average, deliberately. An average would let a respectable performance score survive on almost no evidence, so a store with three months of history and 18 scored cards would read as "the engine is around 58% reliable here". A product collapses toward zero as evidence disappears, which is the honest behaviour: not knowing is not a middling result.</w:t>
      </w:r>
    </w:p>
    <w:p>
      <w:pPr>
        <w:pStyle w:val="Heading2"/>
        <w:spacing w:after="110" w:before="280"/>
      </w:pPr>
      <w:r>
        <w:rPr>
          <w:b/>
          <w:bCs/>
          <w:color w:val="1A1A1A"/>
          <w:sz w:val="25"/>
          <w:szCs w:val="25"/>
        </w:rPr>
        <w:t xml:space="preserve">Measured performance: what the numbers say</w:t>
      </w:r>
    </w:p>
    <w:tbl>
      <w:tblPr>
        <w:tblW w:type="dxa" w:w="9360"/>
        <w:tblBorders>
          <w:top w:val="single" w:color="C8C8C8" w:sz="4"/>
          <w:left w:val="none"/>
          <w:bottom w:val="single" w:color="C8C8C8" w:sz="4"/>
          <w:right w:val="none"/>
          <w:insideH w:val="single" w:color="E4E0D8" w:sz="2"/>
          <w:insideV w:val="none"/>
        </w:tblBorders>
      </w:tblPr>
      <w:tblGrid>
        <w:gridCol w:w="2600"/>
        <w:gridCol w:w="900"/>
        <w:gridCol w:w="5860"/>
      </w:tblGrid>
      <w:tr>
        <w:trPr>
          <w:tblHeader/>
        </w:trPr>
        <w:tc>
          <w:tcPr>
            <w:tcW w:type="dxa" w:w="2600"/>
            <w:shd w:fill="EFEAE0" w:color="auto" w:val="clear"/>
            <w:tcMar>
              <w:top w:type="dxa" w:w="90"/>
              <w:left w:type="dxa" w:w="120"/>
              <w:bottom w:type="dxa" w:w="90"/>
              <w:right w:type="dxa" w:w="120"/>
            </w:tcMar>
          </w:tcPr>
          <w:p>
            <w:pPr>
              <w:spacing w:after="0" w:line="260"/>
              <w:jc w:val="left"/>
            </w:pPr>
            <w:r>
              <w:rPr>
                <w:b/>
                <w:bCs/>
                <w:color w:val="1A1A1A"/>
                <w:sz w:val="19"/>
                <w:szCs w:val="19"/>
              </w:rPr>
              <w:t xml:space="preserve">Component</w:t>
            </w:r>
          </w:p>
        </w:tc>
        <w:tc>
          <w:tcPr>
            <w:tcW w:type="dxa" w:w="9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Score</w:t>
            </w:r>
          </w:p>
        </w:tc>
        <w:tc>
          <w:tcPr>
            <w:tcW w:type="dxa" w:w="586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What it measured, and against what</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Forecast skill vs trailing-28</w:t>
            </w:r>
          </w:p>
        </w:tc>
        <w:tc>
          <w:tcPr>
            <w:tcW w:type="dxa" w:w="900"/>
            <w:tcMar>
              <w:top w:type="dxa" w:w="90"/>
              <w:left w:type="dxa" w:w="120"/>
              <w:bottom w:type="dxa" w:w="90"/>
              <w:right w:type="dxa" w:w="120"/>
            </w:tcMar>
          </w:tcPr>
          <w:p>
            <w:pPr>
              <w:spacing w:after="0" w:line="260"/>
              <w:jc w:val="right"/>
            </w:pPr>
            <w:r>
              <w:rPr>
                <w:b w:val="false"/>
                <w:bCs w:val="false"/>
                <w:color w:val="1A1A1A"/>
                <w:sz w:val="19"/>
                <w:szCs w:val="19"/>
              </w:rPr>
              <w:t xml:space="preserve">57.4</w:t>
            </w:r>
          </w:p>
        </w:tc>
        <w:tc>
          <w:tcPr>
            <w:tcW w:type="dxa" w:w="5860"/>
            <w:tcMar>
              <w:top w:type="dxa" w:w="90"/>
              <w:left w:type="dxa" w:w="120"/>
              <w:bottom w:type="dxa" w:w="90"/>
              <w:right w:type="dxa" w:w="120"/>
            </w:tcMar>
          </w:tcPr>
          <w:p>
            <w:pPr>
              <w:spacing w:after="0" w:line="260"/>
              <w:jc w:val="left"/>
            </w:pPr>
            <w:r>
              <w:rPr>
                <w:b w:val="false"/>
                <w:bCs w:val="false"/>
                <w:color w:val="1A1A1A"/>
                <w:sz w:val="19"/>
                <w:szCs w:val="19"/>
              </w:rPr>
              <w:t xml:space="preserve">mean WAPE edge 0.7 points over the only independent baseline this store supports (50 = parity, +10 per point)</w:t>
            </w:r>
          </w:p>
        </w:tc>
      </w:tr>
      <w:tr>
        <w:tc>
          <w:tcPr>
            <w:tcW w:type="dxa" w:w="26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Bias control vs trailing-28</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62.4</w:t>
            </w:r>
          </w:p>
        </w:tc>
        <w:tc>
          <w:tcPr>
            <w:tcW w:type="dxa" w:w="58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engine over-forecasts by 1.5% on average against the baseline's 3.9% (100 = no bias, 50 = half the baseline's)</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Prediction interval honesty</w:t>
            </w:r>
          </w:p>
        </w:tc>
        <w:tc>
          <w:tcPr>
            <w:tcW w:type="dxa" w:w="900"/>
            <w:tcMar>
              <w:top w:type="dxa" w:w="90"/>
              <w:left w:type="dxa" w:w="120"/>
              <w:bottom w:type="dxa" w:w="90"/>
              <w:right w:type="dxa" w:w="120"/>
            </w:tcMar>
          </w:tcPr>
          <w:p>
            <w:pPr>
              <w:spacing w:after="0" w:line="260"/>
              <w:jc w:val="right"/>
            </w:pPr>
            <w:r>
              <w:rPr>
                <w:b w:val="false"/>
                <w:bCs w:val="false"/>
                <w:color w:val="1B5E20"/>
                <w:sz w:val="19"/>
                <w:szCs w:val="19"/>
              </w:rPr>
              <w:t xml:space="preserve">92.0</w:t>
            </w:r>
          </w:p>
        </w:tc>
        <w:tc>
          <w:tcPr>
            <w:tcW w:type="dxa" w:w="5860"/>
            <w:tcMar>
              <w:top w:type="dxa" w:w="90"/>
              <w:left w:type="dxa" w:w="120"/>
              <w:bottom w:type="dxa" w:w="90"/>
              <w:right w:type="dxa" w:w="120"/>
            </w:tcMar>
          </w:tcPr>
          <w:p>
            <w:pPr>
              <w:spacing w:after="0" w:line="260"/>
              <w:jc w:val="left"/>
            </w:pPr>
            <w:r>
              <w:rPr>
                <w:b w:val="false"/>
                <w:bCs w:val="false"/>
                <w:color w:val="1A1A1A"/>
                <w:sz w:val="19"/>
                <w:szCs w:val="19"/>
              </w:rPr>
              <w:t xml:space="preserve">coverage sits 3.2 points from the 80% it promises, averaged over the horizons (both directions penalised)</w:t>
            </w:r>
          </w:p>
        </w:tc>
      </w:tr>
      <w:tr>
        <w:tc>
          <w:tcPr>
            <w:tcW w:type="dxa" w:w="26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Pick quality vs the reversion-matched null</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19.1</w:t>
            </w:r>
          </w:p>
        </w:tc>
        <w:tc>
          <w:tcPr>
            <w:tcW w:type="dxa" w:w="58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hit rate 22.2% against a 53.2% null, an edge of -30.9 points on 18 cards</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Mean</w:t>
            </w:r>
          </w:p>
        </w:tc>
        <w:tc>
          <w:tcPr>
            <w:tcW w:type="dxa" w:w="900"/>
            <w:tcMar>
              <w:top w:type="dxa" w:w="90"/>
              <w:left w:type="dxa" w:w="120"/>
              <w:bottom w:type="dxa" w:w="90"/>
              <w:right w:type="dxa" w:w="120"/>
            </w:tcMar>
          </w:tcPr>
          <w:p>
            <w:pPr>
              <w:spacing w:after="0" w:line="260"/>
              <w:jc w:val="right"/>
            </w:pPr>
            <w:r>
              <w:rPr>
                <w:b w:val="false"/>
                <w:bCs w:val="false"/>
                <w:color w:val="1A1A1A"/>
                <w:sz w:val="19"/>
                <w:szCs w:val="19"/>
              </w:rPr>
              <w:t xml:space="preserve">57.7</w:t>
            </w:r>
          </w:p>
        </w:tc>
        <w:tc>
          <w:tcPr>
            <w:tcW w:type="dxa" w:w="5860"/>
            <w:tcMar>
              <w:top w:type="dxa" w:w="90"/>
              <w:left w:type="dxa" w:w="120"/>
              <w:bottom w:type="dxa" w:w="90"/>
              <w:right w:type="dxa" w:w="120"/>
            </w:tcMar>
          </w:tcPr>
          <w:p>
            <w:pPr>
              <w:spacing w:after="0" w:line="260"/>
              <w:jc w:val="left"/>
            </w:pPr>
            <w:r>
              <w:rPr>
                <w:b w:val="false"/>
                <w:bCs w:val="false"/>
                <w:color w:val="1A1A1A"/>
                <w:sz w:val="19"/>
                <w:szCs w:val="19"/>
              </w:rPr>
              <w:t xml:space="preserve">equally weighted; a component with no measurement behind it would be omitted, never scored 50, because a missing measurement is not a mediocre one</w:t>
            </w:r>
          </w:p>
        </w:tc>
      </w:tr>
    </w:tbl>
    <w:p>
      <w:pPr>
        <w:pStyle w:val="Heading2"/>
        <w:spacing w:after="110" w:before="280"/>
      </w:pPr>
      <w:r>
        <w:rPr>
          <w:b/>
          <w:bCs/>
          <w:color w:val="1A1A1A"/>
          <w:sz w:val="25"/>
          <w:szCs w:val="25"/>
        </w:rPr>
        <w:t xml:space="preserve">Evidence sufficiency: how much measurement exists</w:t>
      </w:r>
    </w:p>
    <w:tbl>
      <w:tblPr>
        <w:tblW w:type="dxa" w:w="9360"/>
        <w:tblBorders>
          <w:top w:val="single" w:color="C8C8C8" w:sz="4"/>
          <w:left w:val="none"/>
          <w:bottom w:val="single" w:color="C8C8C8" w:sz="4"/>
          <w:right w:val="none"/>
          <w:insideH w:val="single" w:color="E4E0D8" w:sz="2"/>
          <w:insideV w:val="none"/>
        </w:tblBorders>
      </w:tblPr>
      <w:tblGrid>
        <w:gridCol w:w="2600"/>
        <w:gridCol w:w="900"/>
        <w:gridCol w:w="5860"/>
      </w:tblGrid>
      <w:tr>
        <w:trPr>
          <w:tblHeader/>
        </w:trPr>
        <w:tc>
          <w:tcPr>
            <w:tcW w:type="dxa" w:w="2600"/>
            <w:shd w:fill="EFEAE0" w:color="auto" w:val="clear"/>
            <w:tcMar>
              <w:top w:type="dxa" w:w="90"/>
              <w:left w:type="dxa" w:w="120"/>
              <w:bottom w:type="dxa" w:w="90"/>
              <w:right w:type="dxa" w:w="120"/>
            </w:tcMar>
          </w:tcPr>
          <w:p>
            <w:pPr>
              <w:spacing w:after="0" w:line="260"/>
              <w:jc w:val="left"/>
            </w:pPr>
            <w:r>
              <w:rPr>
                <w:b/>
                <w:bCs/>
                <w:color w:val="1A1A1A"/>
                <w:sz w:val="19"/>
                <w:szCs w:val="19"/>
              </w:rPr>
              <w:t xml:space="preserve">Component</w:t>
            </w:r>
          </w:p>
        </w:tc>
        <w:tc>
          <w:tcPr>
            <w:tcW w:type="dxa" w:w="9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Score</w:t>
            </w:r>
          </w:p>
        </w:tc>
        <w:tc>
          <w:tcPr>
            <w:tcW w:type="dxa" w:w="586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What it has, against what the measurement asks for</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Trading history</w:t>
            </w:r>
          </w:p>
        </w:tc>
        <w:tc>
          <w:tcPr>
            <w:tcW w:type="dxa" w:w="900"/>
            <w:tcMar>
              <w:top w:type="dxa" w:w="90"/>
              <w:left w:type="dxa" w:w="120"/>
              <w:bottom w:type="dxa" w:w="90"/>
              <w:right w:type="dxa" w:w="120"/>
            </w:tcMar>
          </w:tcPr>
          <w:p>
            <w:pPr>
              <w:spacing w:after="0" w:line="260"/>
              <w:jc w:val="right"/>
            </w:pPr>
            <w:r>
              <w:rPr>
                <w:b w:val="false"/>
                <w:bCs w:val="false"/>
                <w:color w:val="8A4B08"/>
                <w:sz w:val="19"/>
                <w:szCs w:val="19"/>
              </w:rPr>
              <w:t xml:space="preserve">20.3</w:t>
            </w:r>
          </w:p>
        </w:tc>
        <w:tc>
          <w:tcPr>
            <w:tcW w:type="dxa" w:w="5860"/>
            <w:tcMar>
              <w:top w:type="dxa" w:w="90"/>
              <w:left w:type="dxa" w:w="120"/>
              <w:bottom w:type="dxa" w:w="90"/>
              <w:right w:type="dxa" w:w="120"/>
            </w:tcMar>
          </w:tcPr>
          <w:p>
            <w:pPr>
              <w:spacing w:after="0" w:line="260"/>
              <w:jc w:val="left"/>
            </w:pPr>
            <w:r>
              <w:rPr>
                <w:b w:val="false"/>
                <w:bCs w:val="false"/>
                <w:color w:val="1A1A1A"/>
                <w:sz w:val="19"/>
                <w:szCs w:val="19"/>
              </w:rPr>
              <w:t xml:space="preserve">100 days of span against the 492 the production backtest requires (the engine's own standard)</w:t>
            </w:r>
          </w:p>
        </w:tc>
      </w:tr>
      <w:tr>
        <w:tc>
          <w:tcPr>
            <w:tcW w:type="dxa" w:w="26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Scored decision dates</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40.0</w:t>
            </w:r>
          </w:p>
        </w:tc>
        <w:tc>
          <w:tcPr>
            <w:tcW w:type="dxa" w:w="58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12 dates against a 30-date bar, and these are days apart so they share most of their data</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Cards with a measured outcome</w:t>
            </w:r>
          </w:p>
        </w:tc>
        <w:tc>
          <w:tcPr>
            <w:tcW w:type="dxa" w:w="900"/>
            <w:tcMar>
              <w:top w:type="dxa" w:w="90"/>
              <w:left w:type="dxa" w:w="120"/>
              <w:bottom w:type="dxa" w:w="90"/>
              <w:right w:type="dxa" w:w="120"/>
            </w:tcMar>
          </w:tcPr>
          <w:p>
            <w:pPr>
              <w:spacing w:after="0" w:line="260"/>
              <w:jc w:val="right"/>
            </w:pPr>
            <w:r>
              <w:rPr>
                <w:b w:val="false"/>
                <w:bCs w:val="false"/>
                <w:color w:val="8A4B08"/>
                <w:sz w:val="19"/>
                <w:szCs w:val="19"/>
              </w:rPr>
              <w:t xml:space="preserve">18.0</w:t>
            </w:r>
          </w:p>
        </w:tc>
        <w:tc>
          <w:tcPr>
            <w:tcW w:type="dxa" w:w="5860"/>
            <w:tcMar>
              <w:top w:type="dxa" w:w="90"/>
              <w:left w:type="dxa" w:w="120"/>
              <w:bottom w:type="dxa" w:w="90"/>
              <w:right w:type="dxa" w:w="120"/>
            </w:tcMar>
          </w:tcPr>
          <w:p>
            <w:pPr>
              <w:spacing w:after="0" w:line="260"/>
              <w:jc w:val="left"/>
            </w:pPr>
            <w:r>
              <w:rPr>
                <w:b w:val="false"/>
                <w:bCs w:val="false"/>
                <w:color w:val="1A1A1A"/>
                <w:sz w:val="19"/>
                <w:szCs w:val="19"/>
              </w:rPr>
              <w:t xml:space="preserve">18 cards against the 100 at which a rate first narrows enough to quote</w:t>
            </w:r>
          </w:p>
        </w:tc>
      </w:tr>
      <w:tr>
        <w:tc>
          <w:tcPr>
            <w:tcW w:type="dxa" w:w="26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Forecastable SKUs</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32.6</w:t>
            </w:r>
          </w:p>
        </w:tc>
        <w:tc>
          <w:tcPr>
            <w:tcW w:type="dxa" w:w="58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163 SKUs sold on 30+ days, of 4132 sold at all</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Forward-test closed windows</w:t>
            </w:r>
          </w:p>
        </w:tc>
        <w:tc>
          <w:tcPr>
            <w:tcW w:type="dxa" w:w="900"/>
            <w:tcMar>
              <w:top w:type="dxa" w:w="90"/>
              <w:left w:type="dxa" w:w="120"/>
              <w:bottom w:type="dxa" w:w="90"/>
              <w:right w:type="dxa" w:w="120"/>
            </w:tcMar>
          </w:tcPr>
          <w:p>
            <w:pPr>
              <w:spacing w:after="0" w:line="260"/>
              <w:jc w:val="right"/>
            </w:pPr>
            <w:r>
              <w:rPr>
                <w:b w:val="false"/>
                <w:bCs w:val="false"/>
                <w:color w:val="8A4B08"/>
                <w:sz w:val="19"/>
                <w:szCs w:val="19"/>
              </w:rPr>
              <w:t xml:space="preserve">0.0</w:t>
            </w:r>
          </w:p>
        </w:tc>
        <w:tc>
          <w:tcPr>
            <w:tcW w:type="dxa" w:w="5860"/>
            <w:tcMar>
              <w:top w:type="dxa" w:w="90"/>
              <w:left w:type="dxa" w:w="120"/>
              <w:bottom w:type="dxa" w:w="90"/>
              <w:right w:type="dxa" w:w="120"/>
            </w:tcMar>
          </w:tcPr>
          <w:p>
            <w:pPr>
              <w:spacing w:after="0" w:line="260"/>
              <w:jc w:val="left"/>
            </w:pPr>
            <w:r>
              <w:rPr>
                <w:b w:val="false"/>
                <w:bCs w:val="false"/>
                <w:color w:val="1A1A1A"/>
                <w:sz w:val="19"/>
                <w:szCs w:val="19"/>
              </w:rPr>
              <w:t xml:space="preserve">0 of 5 issued cards have a closed outcome window</w:t>
            </w:r>
          </w:p>
        </w:tc>
      </w:tr>
      <w:tr>
        <w:tc>
          <w:tcPr>
            <w:tcW w:type="dxa" w:w="26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Mean</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22.2</w:t>
            </w:r>
          </w:p>
        </w:tc>
        <w:tc>
          <w:tcPr>
            <w:tcW w:type="dxa" w:w="58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every bar is the measurement's own requirement, not a target invented for this report</w:t>
            </w:r>
          </w:p>
        </w:tc>
      </w:tr>
    </w:tbl>
    <w:p>
      <w:pPr>
        <w:spacing w:after="130" w:line="300"/>
      </w:pPr>
      <w:r>
        <w:rPr>
          <w:b w:val="false"/>
          <w:bCs w:val="false"/>
          <w:i w:val="false"/>
          <w:iCs w:val="false"/>
          <w:color w:val="5A5A5A"/>
          <w:sz w:val="18"/>
          <w:szCs w:val="18"/>
        </w:rPr>
        <w:t xml:space="preserve">Each sub-score names its bar, because a 0-100 number with no stated bar is an opinion with a decimal point. The history bar is the production backtest's own 492-day requirement; the card bar is the 100 at which a Wilson interval on a 50% rate first narrows to about plus or minus ten points.</w:t>
      </w:r>
    </w:p>
    <w:p>
      <w:pPr>
        <w:pStyle w:val="Heading1"/>
        <w:spacing w:after="140" w:before="360"/>
      </w:pPr>
      <w:r>
        <w:rPr>
          <w:b/>
          <w:bCs/>
          <w:color w:val="1A1A1A"/>
          <w:sz w:val="30"/>
          <w:szCs w:val="30"/>
        </w:rPr>
        <w:t xml:space="preserve">What was measured, and what could not be</w:t>
      </w:r>
    </w:p>
    <w:p>
      <w:pPr>
        <w:spacing w:after="130" w:line="300"/>
      </w:pPr>
      <w:r>
        <w:rPr>
          <w:b w:val="false"/>
          <w:bCs w:val="false"/>
          <w:i w:val="false"/>
          <w:iCs w:val="false"/>
          <w:color w:val="1A1A1A"/>
          <w:sz w:val="21"/>
          <w:szCs w:val="21"/>
        </w:rPr>
        <w:t xml:space="preserve">Two production measurements exist, and both refuse this store outright rather than returning a weak number. That refusal is the single most important finding in this report, so the arithmetic is given in full.</w:t>
      </w:r>
    </w:p>
    <w:tbl>
      <w:tblPr>
        <w:tblW w:type="dxa" w:w="9360"/>
        <w:tblBorders>
          <w:top w:val="single" w:color="C8C8C8" w:sz="4"/>
          <w:left w:val="none"/>
          <w:bottom w:val="single" w:color="C8C8C8" w:sz="4"/>
          <w:right w:val="none"/>
          <w:insideH w:val="single" w:color="E4E0D8" w:sz="2"/>
          <w:insideV w:val="none"/>
        </w:tblBorders>
      </w:tblPr>
      <w:tblGrid>
        <w:gridCol w:w="3100"/>
        <w:gridCol w:w="900"/>
        <w:gridCol w:w="5360"/>
      </w:tblGrid>
      <w:tr>
        <w:trPr>
          <w:tblHeader/>
        </w:trPr>
        <w:tc>
          <w:tcPr>
            <w:tcW w:type="dxa" w:w="3100"/>
            <w:shd w:fill="EFEAE0" w:color="auto" w:val="clear"/>
            <w:tcMar>
              <w:top w:type="dxa" w:w="90"/>
              <w:left w:type="dxa" w:w="120"/>
              <w:bottom w:type="dxa" w:w="90"/>
              <w:right w:type="dxa" w:w="120"/>
            </w:tcMar>
          </w:tcPr>
          <w:p>
            <w:pPr>
              <w:spacing w:after="0" w:line="260"/>
              <w:jc w:val="left"/>
            </w:pPr>
            <w:r>
              <w:rPr>
                <w:b/>
                <w:bCs/>
                <w:color w:val="1A1A1A"/>
                <w:sz w:val="19"/>
                <w:szCs w:val="19"/>
              </w:rPr>
              <w:t xml:space="preserve">Requirement</w:t>
            </w:r>
          </w:p>
        </w:tc>
        <w:tc>
          <w:tcPr>
            <w:tcW w:type="dxa" w:w="9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Days</w:t>
            </w:r>
          </w:p>
        </w:tc>
        <w:tc>
          <w:tcPr>
            <w:tcW w:type="dxa" w:w="536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Why it exists</w:t>
            </w:r>
          </w:p>
        </w:tc>
      </w:tr>
      <w:tr>
        <w:tc>
          <w:tcPr>
            <w:tcW w:type="dxa" w:w="3100"/>
            <w:tcMar>
              <w:top w:type="dxa" w:w="90"/>
              <w:left w:type="dxa" w:w="120"/>
              <w:bottom w:type="dxa" w:w="90"/>
              <w:right w:type="dxa" w:w="120"/>
            </w:tcMar>
          </w:tcPr>
          <w:p>
            <w:pPr>
              <w:spacing w:after="0" w:line="260"/>
              <w:jc w:val="left"/>
            </w:pPr>
            <w:r>
              <w:rPr>
                <w:b w:val="false"/>
                <w:bCs w:val="false"/>
                <w:color w:val="1A1A1A"/>
                <w:sz w:val="19"/>
                <w:szCs w:val="19"/>
              </w:rPr>
              <w:t xml:space="preserve">History behind each decision date</w:t>
            </w:r>
          </w:p>
        </w:tc>
        <w:tc>
          <w:tcPr>
            <w:tcW w:type="dxa" w:w="900"/>
            <w:tcMar>
              <w:top w:type="dxa" w:w="90"/>
              <w:left w:type="dxa" w:w="120"/>
              <w:bottom w:type="dxa" w:w="90"/>
              <w:right w:type="dxa" w:w="120"/>
            </w:tcMar>
          </w:tcPr>
          <w:p>
            <w:pPr>
              <w:spacing w:after="0" w:line="260"/>
              <w:jc w:val="right"/>
            </w:pPr>
            <w:r>
              <w:rPr>
                <w:b w:val="false"/>
                <w:bCs w:val="false"/>
                <w:color w:val="1A1A1A"/>
                <w:sz w:val="19"/>
                <w:szCs w:val="19"/>
              </w:rPr>
              <w:t xml:space="preserve">370</w:t>
            </w:r>
          </w:p>
        </w:tc>
        <w:tc>
          <w:tcPr>
            <w:tcW w:type="dxa" w:w="5360"/>
            <w:tcMar>
              <w:top w:type="dxa" w:w="90"/>
              <w:left w:type="dxa" w:w="120"/>
              <w:bottom w:type="dxa" w:w="90"/>
              <w:right w:type="dxa" w:w="120"/>
            </w:tcMar>
          </w:tcPr>
          <w:p>
            <w:pPr>
              <w:spacing w:after="0" w:line="260"/>
              <w:jc w:val="left"/>
            </w:pPr>
            <w:r>
              <w:rPr>
                <w:b w:val="false"/>
                <w:bCs w:val="false"/>
                <w:color w:val="1A1A1A"/>
                <w:sz w:val="19"/>
                <w:szCs w:val="19"/>
              </w:rPr>
              <w:t xml:space="preserve">The engine's long-run rate is a 365-day window. Starting earlier compares a 28-day window against a 90-day one and calls it a year.</w:t>
            </w:r>
          </w:p>
        </w:tc>
      </w:tr>
      <w:tr>
        <w:tc>
          <w:tcPr>
            <w:tcW w:type="dxa" w:w="31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Future ahead of each decision date</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122</w:t>
            </w:r>
          </w:p>
        </w:tc>
        <w:tc>
          <w:tcPr>
            <w:tcW w:type="dxa" w:w="53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The outcome label does not exist until the window closes. Scoring earlier flatters every pick against a truncated future.</w:t>
            </w:r>
          </w:p>
        </w:tc>
      </w:tr>
      <w:tr>
        <w:tc>
          <w:tcPr>
            <w:tcW w:type="dxa" w:w="3100"/>
            <w:tcMar>
              <w:top w:type="dxa" w:w="90"/>
              <w:left w:type="dxa" w:w="120"/>
              <w:bottom w:type="dxa" w:w="90"/>
              <w:right w:type="dxa" w:w="120"/>
            </w:tcMar>
          </w:tcPr>
          <w:p>
            <w:pPr>
              <w:spacing w:after="0" w:line="260"/>
              <w:jc w:val="left"/>
            </w:pPr>
            <w:r>
              <w:rPr>
                <w:b w:val="false"/>
                <w:bCs w:val="false"/>
                <w:color w:val="1A1A1A"/>
                <w:sz w:val="19"/>
                <w:szCs w:val="19"/>
              </w:rPr>
              <w:t xml:space="preserve">Minimum span before one scorable date exists</w:t>
            </w:r>
          </w:p>
        </w:tc>
        <w:tc>
          <w:tcPr>
            <w:tcW w:type="dxa" w:w="900"/>
            <w:tcMar>
              <w:top w:type="dxa" w:w="90"/>
              <w:left w:type="dxa" w:w="120"/>
              <w:bottom w:type="dxa" w:w="90"/>
              <w:right w:type="dxa" w:w="120"/>
            </w:tcMar>
          </w:tcPr>
          <w:p>
            <w:pPr>
              <w:spacing w:after="0" w:line="260"/>
              <w:jc w:val="right"/>
            </w:pPr>
            <w:r>
              <w:rPr>
                <w:b w:val="false"/>
                <w:bCs w:val="false"/>
                <w:color w:val="1A1A1A"/>
                <w:sz w:val="19"/>
                <w:szCs w:val="19"/>
              </w:rPr>
              <w:t xml:space="preserve">492</w:t>
            </w:r>
          </w:p>
        </w:tc>
        <w:tc>
          <w:tcPr>
            <w:tcW w:type="dxa" w:w="5360"/>
            <w:tcMar>
              <w:top w:type="dxa" w:w="90"/>
              <w:left w:type="dxa" w:w="120"/>
              <w:bottom w:type="dxa" w:w="90"/>
              <w:right w:type="dxa" w:w="120"/>
            </w:tcMar>
          </w:tcPr>
          <w:p>
            <w:pPr>
              <w:spacing w:after="0" w:line="260"/>
              <w:jc w:val="left"/>
            </w:pPr>
            <w:r>
              <w:rPr>
                <w:b w:val="false"/>
                <w:bCs w:val="false"/>
                <w:color w:val="1A1A1A"/>
                <w:sz w:val="19"/>
                <w:szCs w:val="19"/>
              </w:rPr>
              <w:t xml:space="preserve">Sum of the two.</w:t>
            </w:r>
          </w:p>
        </w:tc>
      </w:tr>
      <w:tr>
        <w:tc>
          <w:tcPr>
            <w:tcW w:type="dxa" w:w="3100"/>
            <w:shd w:fill="FAF8F4" w:color="auto" w:val="clear"/>
            <w:tcMar>
              <w:top w:type="dxa" w:w="90"/>
              <w:left w:type="dxa" w:w="120"/>
              <w:bottom w:type="dxa" w:w="90"/>
              <w:right w:type="dxa" w:w="120"/>
            </w:tcMar>
          </w:tcPr>
          <w:p>
            <w:pPr>
              <w:spacing w:after="0" w:line="260"/>
              <w:jc w:val="left"/>
            </w:pPr>
            <w:r>
              <w:rPr>
                <w:b w:val="false"/>
                <w:bCs w:val="false"/>
                <w:color w:val="8A4B08"/>
                <w:sz w:val="19"/>
                <w:szCs w:val="19"/>
              </w:rPr>
              <w:t xml:space="preserve">Tuscany actual span</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100</w:t>
            </w:r>
          </w:p>
        </w:tc>
        <w:tc>
          <w:tcPr>
            <w:tcW w:type="dxa" w:w="53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101 trading days, 2026-07-05 to 2026-10-13.</w:t>
            </w:r>
          </w:p>
        </w:tc>
      </w:tr>
      <w:tr>
        <w:tc>
          <w:tcPr>
            <w:tcW w:type="dxa" w:w="3100"/>
            <w:tcMar>
              <w:top w:type="dxa" w:w="90"/>
              <w:left w:type="dxa" w:w="120"/>
              <w:bottom w:type="dxa" w:w="90"/>
              <w:right w:type="dxa" w:w="120"/>
            </w:tcMar>
          </w:tcPr>
          <w:p>
            <w:pPr>
              <w:spacing w:after="0" w:line="260"/>
              <w:jc w:val="left"/>
            </w:pPr>
            <w:r>
              <w:rPr>
                <w:b w:val="false"/>
                <w:bCs w:val="false"/>
                <w:color w:val="8A4B08"/>
                <w:sz w:val="19"/>
                <w:szCs w:val="19"/>
              </w:rPr>
              <w:t xml:space="preserve">Shortfall</w:t>
            </w:r>
          </w:p>
        </w:tc>
        <w:tc>
          <w:tcPr>
            <w:tcW w:type="dxa" w:w="900"/>
            <w:tcMar>
              <w:top w:type="dxa" w:w="90"/>
              <w:left w:type="dxa" w:w="120"/>
              <w:bottom w:type="dxa" w:w="90"/>
              <w:right w:type="dxa" w:w="120"/>
            </w:tcMar>
          </w:tcPr>
          <w:p>
            <w:pPr>
              <w:spacing w:after="0" w:line="260"/>
              <w:jc w:val="right"/>
            </w:pPr>
            <w:r>
              <w:rPr>
                <w:b w:val="false"/>
                <w:bCs w:val="false"/>
                <w:color w:val="8A4B08"/>
                <w:sz w:val="19"/>
                <w:szCs w:val="19"/>
              </w:rPr>
              <w:t xml:space="preserve">392</w:t>
            </w:r>
          </w:p>
        </w:tc>
        <w:tc>
          <w:tcPr>
            <w:tcW w:type="dxa" w:w="5360"/>
            <w:tcMar>
              <w:top w:type="dxa" w:w="90"/>
              <w:left w:type="dxa" w:w="120"/>
              <w:bottom w:type="dxa" w:w="90"/>
              <w:right w:type="dxa" w:w="120"/>
            </w:tcMar>
          </w:tcPr>
          <w:p>
            <w:pPr>
              <w:spacing w:after="0" w:line="260"/>
              <w:jc w:val="left"/>
            </w:pPr>
            <w:r>
              <w:rPr>
                <w:b w:val="false"/>
                <w:bCs w:val="false"/>
                <w:color w:val="1A1A1A"/>
                <w:sz w:val="19"/>
                <w:szCs w:val="19"/>
              </w:rPr>
              <w:t xml:space="preserve">The store has 20% of the history the measurement needs.</w:t>
            </w:r>
          </w:p>
        </w:tc>
      </w:tr>
    </w:tbl>
    <w:p>
      <w:pPr>
        <w:spacing w:after="60" w:line="300"/>
      </w:pPr>
      <w:r>
        <w:rPr>
          <w:b w:val="false"/>
          <w:bCs w:val="false"/>
          <w:i w:val="false"/>
          <w:iCs w:val="false"/>
          <w:color w:val="1A1A1A"/>
          <w:sz w:val="21"/>
          <w:szCs w:val="21"/>
        </w:rPr>
        <w:t xml:space="preserve">Everything below therefore comes from a reduced-window variant, built for this report, which runs the same production modules with only the window bounds shortened. It is labelled as such everywhere, and its numbers are not comparable to any figure published for another store.</w:t>
      </w:r>
    </w:p>
    <w:p>
      <w:pPr>
        <w:spacing w:after="130" w:line="300"/>
      </w:pPr>
      <w:r>
        <w:rPr>
          <w:b/>
          <w:bCs/>
          <w:color w:val="1A1A1A"/>
          <w:sz w:val="21"/>
          <w:szCs w:val="21"/>
        </w:rPr>
        <w:t xml:space="preserve">In particular: </w:t>
      </w:r>
      <w:r>
        <w:rPr>
          <w:color w:val="1A1A1A"/>
          <w:sz w:val="21"/>
          <w:szCs w:val="21"/>
        </w:rPr>
        <w:t xml:space="preserve">the 75.7% backtest figure published for Bethany Discount Liquor was computed over roughly three years of history. Nothing in this report may be set beside it.</w:t>
      </w:r>
    </w:p>
    <w:p>
      <w:pPr>
        <w:pStyle w:val="Heading1"/>
        <w:spacing w:after="140" w:before="360"/>
      </w:pPr>
      <w:r>
        <w:rPr>
          <w:b/>
          <w:bCs/>
          <w:color w:val="1A1A1A"/>
          <w:sz w:val="30"/>
          <w:szCs w:val="30"/>
        </w:rPr>
        <w:t xml:space="preserve">Part 1. The forecaster</w:t>
      </w:r>
    </w:p>
    <w:p>
      <w:pPr>
        <w:spacing w:after="130" w:line="300"/>
      </w:pPr>
      <w:r>
        <w:rPr>
          <w:b w:val="false"/>
          <w:bCs w:val="false"/>
          <w:i w:val="false"/>
          <w:iCs w:val="false"/>
          <w:color w:val="1A1A1A"/>
          <w:sz w:val="21"/>
          <w:szCs w:val="21"/>
        </w:rPr>
        <w:t xml:space="preserve">Question: when the engine says "expect N units over the next H days", how wrong is N? Measured over 9 scored decision dates (3 earlier dates were used to calibrate the prediction interval and are excluded from scoring), 2,974 forecasts per horizon across 456 SKUs.</w:t>
      </w:r>
    </w:p>
    <w:p>
      <w:pPr>
        <w:pStyle w:val="Heading2"/>
        <w:spacing w:after="110" w:before="280"/>
      </w:pPr>
      <w:r>
        <w:rPr>
          <w:b/>
          <w:bCs/>
          <w:color w:val="1A1A1A"/>
          <w:sz w:val="25"/>
          <w:szCs w:val="25"/>
        </w:rPr>
        <w:t xml:space="preserve">Result</w:t>
      </w:r>
    </w:p>
    <w:tbl>
      <w:tblPr>
        <w:tblW w:type="dxa" w:w="9360"/>
        <w:tblBorders>
          <w:top w:val="single" w:color="C8C8C8" w:sz="4"/>
          <w:left w:val="none"/>
          <w:bottom w:val="single" w:color="C8C8C8" w:sz="4"/>
          <w:right w:val="none"/>
          <w:insideH w:val="single" w:color="E4E0D8" w:sz="2"/>
          <w:insideV w:val="none"/>
        </w:tblBorders>
      </w:tblPr>
      <w:tblGrid>
        <w:gridCol w:w="1000"/>
        <w:gridCol w:w="1340"/>
        <w:gridCol w:w="1500"/>
        <w:gridCol w:w="1120"/>
        <w:gridCol w:w="1200"/>
        <w:gridCol w:w="1200"/>
        <w:gridCol w:w="2000"/>
      </w:tblGrid>
      <w:tr>
        <w:trPr>
          <w:tblHeader/>
        </w:trPr>
        <w:tc>
          <w:tcPr>
            <w:tcW w:type="dxa" w:w="1000"/>
            <w:shd w:fill="EFEAE0" w:color="auto" w:val="clear"/>
            <w:tcMar>
              <w:top w:type="dxa" w:w="90"/>
              <w:left w:type="dxa" w:w="120"/>
              <w:bottom w:type="dxa" w:w="90"/>
              <w:right w:type="dxa" w:w="120"/>
            </w:tcMar>
          </w:tcPr>
          <w:p>
            <w:pPr>
              <w:spacing w:after="0" w:line="260"/>
              <w:jc w:val="left"/>
            </w:pPr>
            <w:r>
              <w:rPr>
                <w:b/>
                <w:bCs/>
                <w:color w:val="1A1A1A"/>
                <w:sz w:val="19"/>
                <w:szCs w:val="19"/>
              </w:rPr>
              <w:t xml:space="preserve">Horizon</w:t>
            </w:r>
          </w:p>
        </w:tc>
        <w:tc>
          <w:tcPr>
            <w:tcW w:type="dxa" w:w="1340"/>
            <w:shd w:fill="EFEAE0" w:color="auto" w:val="clear"/>
            <w:tcMar>
              <w:top w:type="dxa" w:w="90"/>
              <w:left w:type="dxa" w:w="120"/>
              <w:bottom w:type="dxa" w:w="90"/>
              <w:right w:type="dxa" w:w="120"/>
            </w:tcMar>
          </w:tcPr>
          <w:p>
            <w:pPr>
              <w:spacing w:after="0" w:line="260"/>
              <w:jc w:val="right"/>
            </w:pPr>
            <w:r>
              <w:rPr>
                <w:b/>
                <w:bCs/>
                <w:color w:val="1A1A1A"/>
                <w:sz w:val="19"/>
                <w:szCs w:val="19"/>
              </w:rPr>
              <w:t xml:space="preserve">Engine WAPE</w:t>
            </w:r>
          </w:p>
        </w:tc>
        <w:tc>
          <w:tcPr>
            <w:tcW w:type="dxa" w:w="15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Trailing-28 WAPE</w:t>
            </w:r>
          </w:p>
        </w:tc>
        <w:tc>
          <w:tcPr>
            <w:tcW w:type="dxa" w:w="1120"/>
            <w:shd w:fill="EFEAE0" w:color="auto" w:val="clear"/>
            <w:tcMar>
              <w:top w:type="dxa" w:w="90"/>
              <w:left w:type="dxa" w:w="120"/>
              <w:bottom w:type="dxa" w:w="90"/>
              <w:right w:type="dxa" w:w="120"/>
            </w:tcMar>
          </w:tcPr>
          <w:p>
            <w:pPr>
              <w:spacing w:after="0" w:line="260"/>
              <w:jc w:val="right"/>
            </w:pPr>
            <w:r>
              <w:rPr>
                <w:b/>
                <w:bCs/>
                <w:color w:val="1A1A1A"/>
                <w:sz w:val="19"/>
                <w:szCs w:val="19"/>
              </w:rPr>
              <w:t xml:space="preserve">Engine edge</w:t>
            </w:r>
          </w:p>
        </w:tc>
        <w:tc>
          <w:tcPr>
            <w:tcW w:type="dxa" w:w="12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Engine bias</w:t>
            </w:r>
          </w:p>
        </w:tc>
        <w:tc>
          <w:tcPr>
            <w:tcW w:type="dxa" w:w="12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Trailing bias</w:t>
            </w:r>
          </w:p>
        </w:tc>
        <w:tc>
          <w:tcPr>
            <w:tcW w:type="dxa" w:w="20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Interval coverage</w:t>
            </w:r>
          </w:p>
        </w:tc>
      </w:tr>
      <w:tr>
        <w:tc>
          <w:tcPr>
            <w:tcW w:type="dxa" w:w="1000"/>
            <w:tcMar>
              <w:top w:type="dxa" w:w="90"/>
              <w:left w:type="dxa" w:w="120"/>
              <w:bottom w:type="dxa" w:w="90"/>
              <w:right w:type="dxa" w:w="120"/>
            </w:tcMar>
          </w:tcPr>
          <w:p>
            <w:pPr>
              <w:spacing w:after="0" w:line="260"/>
              <w:jc w:val="left"/>
            </w:pPr>
            <w:r>
              <w:rPr>
                <w:b w:val="false"/>
                <w:bCs w:val="false"/>
                <w:color w:val="1A1A1A"/>
                <w:sz w:val="19"/>
                <w:szCs w:val="19"/>
              </w:rPr>
              <w:t xml:space="preserve">10 days</w:t>
            </w:r>
          </w:p>
        </w:tc>
        <w:tc>
          <w:tcPr>
            <w:tcW w:type="dxa" w:w="1340"/>
            <w:tcMar>
              <w:top w:type="dxa" w:w="90"/>
              <w:left w:type="dxa" w:w="120"/>
              <w:bottom w:type="dxa" w:w="90"/>
              <w:right w:type="dxa" w:w="120"/>
            </w:tcMar>
          </w:tcPr>
          <w:p>
            <w:pPr>
              <w:spacing w:after="0" w:line="260"/>
              <w:jc w:val="right"/>
            </w:pPr>
            <w:r>
              <w:rPr>
                <w:b w:val="false"/>
                <w:bCs w:val="false"/>
                <w:color w:val="1B5E20"/>
                <w:sz w:val="19"/>
                <w:szCs w:val="19"/>
              </w:rPr>
              <w:t xml:space="preserve">47.83%</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48.34%</w:t>
            </w:r>
          </w:p>
        </w:tc>
        <w:tc>
          <w:tcPr>
            <w:tcW w:type="dxa" w:w="1120"/>
            <w:tcMar>
              <w:top w:type="dxa" w:w="90"/>
              <w:left w:type="dxa" w:w="120"/>
              <w:bottom w:type="dxa" w:w="90"/>
              <w:right w:type="dxa" w:w="120"/>
            </w:tcMar>
          </w:tcPr>
          <w:p>
            <w:pPr>
              <w:spacing w:after="0" w:line="260"/>
              <w:jc w:val="right"/>
            </w:pPr>
            <w:r>
              <w:rPr>
                <w:b w:val="false"/>
                <w:bCs w:val="false"/>
                <w:color w:val="1B5E20"/>
                <w:sz w:val="19"/>
                <w:szCs w:val="19"/>
              </w:rPr>
              <w:t xml:space="preserve">-0.51 pts</w:t>
            </w:r>
          </w:p>
        </w:tc>
        <w:tc>
          <w:tcPr>
            <w:tcW w:type="dxa" w:w="1200"/>
            <w:tcMar>
              <w:top w:type="dxa" w:w="90"/>
              <w:left w:type="dxa" w:w="120"/>
              <w:bottom w:type="dxa" w:w="90"/>
              <w:right w:type="dxa" w:w="120"/>
            </w:tcMar>
          </w:tcPr>
          <w:p>
            <w:pPr>
              <w:spacing w:after="0" w:line="260"/>
              <w:jc w:val="right"/>
            </w:pPr>
            <w:r>
              <w:rPr>
                <w:b w:val="false"/>
                <w:bCs w:val="false"/>
                <w:color w:val="1B5E20"/>
                <w:sz w:val="19"/>
                <w:szCs w:val="19"/>
              </w:rPr>
              <w:t xml:space="preserve">0.77%</w:t>
            </w:r>
          </w:p>
        </w:tc>
        <w:tc>
          <w:tcPr>
            <w:tcW w:type="dxa" w:w="1200"/>
            <w:tcMar>
              <w:top w:type="dxa" w:w="90"/>
              <w:left w:type="dxa" w:w="120"/>
              <w:bottom w:type="dxa" w:w="90"/>
              <w:right w:type="dxa" w:w="120"/>
            </w:tcMar>
          </w:tcPr>
          <w:p>
            <w:pPr>
              <w:spacing w:after="0" w:line="260"/>
              <w:jc w:val="right"/>
            </w:pPr>
            <w:r>
              <w:rPr>
                <w:b w:val="false"/>
                <w:bCs w:val="false"/>
                <w:color w:val="1A1A1A"/>
                <w:sz w:val="19"/>
                <w:szCs w:val="19"/>
              </w:rPr>
              <w:t xml:space="preserve">3.17%</w:t>
            </w:r>
          </w:p>
        </w:tc>
        <w:tc>
          <w:tcPr>
            <w:tcW w:type="dxa" w:w="2000"/>
            <w:tcMar>
              <w:top w:type="dxa" w:w="90"/>
              <w:left w:type="dxa" w:w="120"/>
              <w:bottom w:type="dxa" w:w="90"/>
              <w:right w:type="dxa" w:w="120"/>
            </w:tcMar>
          </w:tcPr>
          <w:p>
            <w:pPr>
              <w:spacing w:after="0" w:line="260"/>
              <w:jc w:val="right"/>
            </w:pPr>
            <w:r>
              <w:rPr>
                <w:b w:val="false"/>
                <w:bCs w:val="false"/>
                <w:color w:val="1A1A1A"/>
                <w:sz w:val="19"/>
                <w:szCs w:val="19"/>
              </w:rPr>
              <w:t xml:space="preserve">88.5% (CI 87.2-89.6)</w:t>
            </w:r>
          </w:p>
        </w:tc>
      </w:tr>
      <w:tr>
        <w:tc>
          <w:tcPr>
            <w:tcW w:type="dxa" w:w="10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 days</w:t>
            </w:r>
          </w:p>
        </w:tc>
        <w:tc>
          <w:tcPr>
            <w:tcW w:type="dxa" w:w="134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41.53%</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42.35%</w:t>
            </w:r>
          </w:p>
        </w:tc>
        <w:tc>
          <w:tcPr>
            <w:tcW w:type="dxa" w:w="112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-0.82 pts</w:t>
            </w:r>
          </w:p>
        </w:tc>
        <w:tc>
          <w:tcPr>
            <w:tcW w:type="dxa" w:w="120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1.27%</w:t>
            </w:r>
          </w:p>
        </w:tc>
        <w:tc>
          <w:tcPr>
            <w:tcW w:type="dxa" w:w="12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3.69%</w:t>
            </w:r>
          </w:p>
        </w:tc>
        <w:tc>
          <w:tcPr>
            <w:tcW w:type="dxa" w:w="20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79.0% (CI 77.9-80)</w:t>
            </w:r>
          </w:p>
        </w:tc>
      </w:tr>
      <w:tr>
        <w:tc>
          <w:tcPr>
            <w:tcW w:type="dxa" w:w="1000"/>
            <w:tcMar>
              <w:top w:type="dxa" w:w="90"/>
              <w:left w:type="dxa" w:w="120"/>
              <w:bottom w:type="dxa" w:w="90"/>
              <w:right w:type="dxa" w:w="120"/>
            </w:tcMar>
          </w:tcPr>
          <w:p>
            <w:pPr>
              <w:spacing w:after="0" w:line="260"/>
              <w:jc w:val="left"/>
            </w:pPr>
            <w:r>
              <w:rPr>
                <w:b w:val="false"/>
                <w:bCs w:val="false"/>
                <w:color w:val="1A1A1A"/>
                <w:sz w:val="19"/>
                <w:szCs w:val="19"/>
              </w:rPr>
              <w:t xml:space="preserve">30 days</w:t>
            </w:r>
          </w:p>
        </w:tc>
        <w:tc>
          <w:tcPr>
            <w:tcW w:type="dxa" w:w="1340"/>
            <w:tcMar>
              <w:top w:type="dxa" w:w="90"/>
              <w:left w:type="dxa" w:w="120"/>
              <w:bottom w:type="dxa" w:w="90"/>
              <w:right w:type="dxa" w:w="120"/>
            </w:tcMar>
          </w:tcPr>
          <w:p>
            <w:pPr>
              <w:spacing w:after="0" w:line="260"/>
              <w:jc w:val="right"/>
            </w:pPr>
            <w:r>
              <w:rPr>
                <w:b w:val="false"/>
                <w:bCs w:val="false"/>
                <w:color w:val="1B5E20"/>
                <w:sz w:val="19"/>
                <w:szCs w:val="19"/>
              </w:rPr>
              <w:t xml:space="preserve">38.22%</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39.12%</w:t>
            </w:r>
          </w:p>
        </w:tc>
        <w:tc>
          <w:tcPr>
            <w:tcW w:type="dxa" w:w="1120"/>
            <w:tcMar>
              <w:top w:type="dxa" w:w="90"/>
              <w:left w:type="dxa" w:w="120"/>
              <w:bottom w:type="dxa" w:w="90"/>
              <w:right w:type="dxa" w:w="120"/>
            </w:tcMar>
          </w:tcPr>
          <w:p>
            <w:pPr>
              <w:spacing w:after="0" w:line="260"/>
              <w:jc w:val="right"/>
            </w:pPr>
            <w:r>
              <w:rPr>
                <w:b w:val="false"/>
                <w:bCs w:val="false"/>
                <w:color w:val="1B5E20"/>
                <w:sz w:val="19"/>
                <w:szCs w:val="19"/>
              </w:rPr>
              <w:t xml:space="preserve">-0.90 pts</w:t>
            </w:r>
          </w:p>
        </w:tc>
        <w:tc>
          <w:tcPr>
            <w:tcW w:type="dxa" w:w="1200"/>
            <w:tcMar>
              <w:top w:type="dxa" w:w="90"/>
              <w:left w:type="dxa" w:w="120"/>
              <w:bottom w:type="dxa" w:w="90"/>
              <w:right w:type="dxa" w:w="120"/>
            </w:tcMar>
          </w:tcPr>
          <w:p>
            <w:pPr>
              <w:spacing w:after="0" w:line="260"/>
              <w:jc w:val="right"/>
            </w:pPr>
            <w:r>
              <w:rPr>
                <w:b w:val="false"/>
                <w:bCs w:val="false"/>
                <w:color w:val="1B5E20"/>
                <w:sz w:val="19"/>
                <w:szCs w:val="19"/>
              </w:rPr>
              <w:t xml:space="preserve">2.33%</w:t>
            </w:r>
          </w:p>
        </w:tc>
        <w:tc>
          <w:tcPr>
            <w:tcW w:type="dxa" w:w="1200"/>
            <w:tcMar>
              <w:top w:type="dxa" w:w="90"/>
              <w:left w:type="dxa" w:w="120"/>
              <w:bottom w:type="dxa" w:w="90"/>
              <w:right w:type="dxa" w:w="120"/>
            </w:tcMar>
          </w:tcPr>
          <w:p>
            <w:pPr>
              <w:spacing w:after="0" w:line="260"/>
              <w:jc w:val="right"/>
            </w:pPr>
            <w:r>
              <w:rPr>
                <w:b w:val="false"/>
                <w:bCs w:val="false"/>
                <w:color w:val="1A1A1A"/>
                <w:sz w:val="19"/>
                <w:szCs w:val="19"/>
              </w:rPr>
              <w:t xml:space="preserve">4.77%</w:t>
            </w:r>
          </w:p>
        </w:tc>
        <w:tc>
          <w:tcPr>
            <w:tcW w:type="dxa" w:w="2000"/>
            <w:tcMar>
              <w:top w:type="dxa" w:w="90"/>
              <w:left w:type="dxa" w:w="120"/>
              <w:bottom w:type="dxa" w:w="90"/>
              <w:right w:type="dxa" w:w="120"/>
            </w:tcMar>
          </w:tcPr>
          <w:p>
            <w:pPr>
              <w:spacing w:after="0" w:line="260"/>
              <w:jc w:val="right"/>
            </w:pPr>
            <w:r>
              <w:rPr>
                <w:b w:val="false"/>
                <w:bCs w:val="false"/>
                <w:color w:val="1A1A1A"/>
                <w:sz w:val="19"/>
                <w:szCs w:val="19"/>
              </w:rPr>
              <w:t xml:space="preserve">79.9% (CI 78.7-80.8)</w:t>
            </w:r>
          </w:p>
        </w:tc>
      </w:tr>
    </w:tbl>
    <w:p>
      <w:pPr>
        <w:spacing w:after="130" w:line="300"/>
      </w:pPr>
      <w:r>
        <w:rPr>
          <w:b w:val="false"/>
          <w:bCs w:val="false"/>
          <w:i w:val="false"/>
          <w:iCs w:val="false"/>
          <w:color w:val="5A5A5A"/>
          <w:sz w:val="18"/>
          <w:szCs w:val="18"/>
        </w:rPr>
        <w:t xml:space="preserve">WAPE: lower is better. Bias: nearer zero is better. Interval coverage targets 80%.</w:t>
      </w:r>
    </w:p>
    <w:p>
      <w:pPr>
        <w:pStyle w:val="Heading2"/>
        <w:spacing w:after="110" w:before="280"/>
      </w:pPr>
      <w:r>
        <w:rPr>
          <w:b/>
          <w:bCs/>
          <w:color w:val="1A1A1A"/>
          <w:sz w:val="25"/>
          <w:szCs w:val="25"/>
        </w:rPr>
        <w:t xml:space="preserve">Reading it</w:t>
      </w:r>
    </w:p>
    <w:p>
      <w:pPr>
        <w:pStyle w:val="ListParagraph"/>
        <w:numPr>
          <w:ilvl w:val="0"/>
          <w:numId w:val="2"/>
        </w:numPr>
        <w:spacing w:after="90" w:line="300"/>
      </w:pPr>
      <w:r>
        <w:rPr>
          <w:b w:val="false"/>
          <w:bCs w:val="false"/>
          <w:color w:val="1A1A1A"/>
          <w:sz w:val="21"/>
          <w:szCs w:val="21"/>
        </w:rPr>
        <w:t xml:space="preserve">The engine beats the trailing-28 baseline at every horizon, but the margin is under one percentage point of WAPE (-0.51, -0.82, -0.90 points). On accuracy alone the engine is barely better than "assume the last 28 days continue".</w:t>
      </w:r>
    </w:p>
    <w:p>
      <w:pPr>
        <w:pStyle w:val="ListParagraph"/>
        <w:numPr>
          <w:ilvl w:val="0"/>
          <w:numId w:val="2"/>
        </w:numPr>
        <w:spacing w:after="90" w:line="300"/>
      </w:pPr>
      <w:r>
        <w:rPr>
          <w:b w:val="false"/>
          <w:bCs w:val="false"/>
          <w:color w:val="1A1A1A"/>
          <w:sz w:val="21"/>
          <w:szCs w:val="21"/>
        </w:rPr>
        <w:t xml:space="preserve">The real gain is in BIAS, and it is substantial. Trailing-28 over-forecasts by 3.2%, 3.7%, 4.8% at the three horizons; the engine over-forecasts by 0.8%, 1.3%, 2.3%. Shrinking the recent rate toward the long-run rate is correcting a systematic upward drift in the 28-day window, which is exactly what it is there for. For a store deciding order quantities, a two-thirds reduction in over-forecasting is worth more than a 0.9-point WAPE gain.</w:t>
      </w:r>
    </w:p>
    <w:p>
      <w:pPr>
        <w:pStyle w:val="ListParagraph"/>
        <w:numPr>
          <w:ilvl w:val="0"/>
          <w:numId w:val="2"/>
        </w:numPr>
        <w:spacing w:after="90" w:line="300"/>
      </w:pPr>
      <w:r>
        <w:rPr>
          <w:b w:val="false"/>
          <w:bCs w:val="false"/>
          <w:color w:val="1A1A1A"/>
          <w:sz w:val="21"/>
          <w:szCs w:val="21"/>
        </w:rPr>
        <w:t xml:space="preserve">The prediction interval is honest. Coverage is 88.5%, 79.0%, 79.9% against an 80% target, so at 20 and 30 days it is calibrated almost exactly. At 10 days it is too wide (88.5% of actuals fall inside an interval meant to catch 80%), which means short-horizon ranges overstate the uncertainty.</w:t>
      </w:r>
    </w:p>
    <w:p>
      <w:pPr>
        <w:pStyle w:val="ListParagraph"/>
        <w:numPr>
          <w:ilvl w:val="0"/>
          <w:numId w:val="2"/>
        </w:numPr>
        <w:spacing w:after="90" w:line="300"/>
      </w:pPr>
      <w:r>
        <w:rPr>
          <w:b w:val="false"/>
          <w:bCs w:val="false"/>
          <w:color w:val="1A1A1A"/>
          <w:sz w:val="21"/>
          <w:szCs w:val="21"/>
        </w:rPr>
        <w:t xml:space="preserve">The seasonal layer does not help here. engine_seasonal scores 48.04%, 41.56%, 38.26% against the plain engine's 47.83%, 41.53%, 38.22%, so it adds a little error at every horizon. The day-of-week signal itself is real and strong at this store (Friday runs about 1.39x an average open day, Monday about 0.79x), but the pre-holiday index cannot be estimated at all: July to October contains no major holiday run-up, so there is no evidence in the data for the one effect that layer exists to catch.</w:t>
      </w:r>
    </w:p>
    <w:p>
      <w:pPr>
        <w:pStyle w:val="Heading2"/>
        <w:spacing w:after="110" w:before="280"/>
      </w:pPr>
      <w:r>
        <w:rPr>
          <w:b/>
          <w:bCs/>
          <w:color w:val="1A1A1A"/>
          <w:sz w:val="25"/>
          <w:szCs w:val="25"/>
        </w:rPr>
        <w:t xml:space="preserve">Two of the three baselines are not baselines at this store</w:t>
      </w:r>
    </w:p>
    <w:p>
      <w:pPr>
        <w:spacing w:after="130" w:line="300"/>
      </w:pPr>
      <w:r>
        <w:rPr>
          <w:b w:val="false"/>
          <w:bCs w:val="false"/>
          <w:i w:val="false"/>
          <w:iCs w:val="false"/>
          <w:color w:val="1A1A1A"/>
          <w:sz w:val="21"/>
          <w:szCs w:val="21"/>
        </w:rPr>
        <w:t xml:space="preserve">The production measurement asks whether the engine beats three baselines. At Tuscany only one of them is real, which is why no "beats 3 of 3" claim appears in this report.</w:t>
      </w:r>
    </w:p>
    <w:tbl>
      <w:tblPr>
        <w:tblW w:type="dxa" w:w="9360"/>
        <w:tblBorders>
          <w:top w:val="single" w:color="C8C8C8" w:sz="4"/>
          <w:left w:val="none"/>
          <w:bottom w:val="single" w:color="C8C8C8" w:sz="4"/>
          <w:right w:val="none"/>
          <w:insideH w:val="single" w:color="E4E0D8" w:sz="2"/>
          <w:insideV w:val="none"/>
        </w:tblBorders>
      </w:tblPr>
      <w:tblGrid>
        <w:gridCol w:w="1700"/>
        <w:gridCol w:w="1500"/>
        <w:gridCol w:w="6160"/>
      </w:tblGrid>
      <w:tr>
        <w:trPr>
          <w:tblHeader/>
        </w:trPr>
        <w:tc>
          <w:tcPr>
            <w:tcW w:type="dxa" w:w="1700"/>
            <w:shd w:fill="EFEAE0" w:color="auto" w:val="clear"/>
            <w:tcMar>
              <w:top w:type="dxa" w:w="90"/>
              <w:left w:type="dxa" w:w="120"/>
              <w:bottom w:type="dxa" w:w="90"/>
              <w:right w:type="dxa" w:w="120"/>
            </w:tcMar>
          </w:tcPr>
          <w:p>
            <w:pPr>
              <w:spacing w:after="0" w:line="260"/>
              <w:jc w:val="left"/>
            </w:pPr>
            <w:r>
              <w:rPr>
                <w:b/>
                <w:bCs/>
                <w:color w:val="1A1A1A"/>
                <w:sz w:val="19"/>
                <w:szCs w:val="19"/>
              </w:rPr>
              <w:t xml:space="preserve">Baseline</w:t>
            </w:r>
          </w:p>
        </w:tc>
        <w:tc>
          <w:tcPr>
            <w:tcW w:type="dxa" w:w="1500"/>
            <w:shd w:fill="EFEAE0" w:color="auto" w:val="clear"/>
            <w:tcMar>
              <w:top w:type="dxa" w:w="90"/>
              <w:left w:type="dxa" w:w="120"/>
              <w:bottom w:type="dxa" w:w="90"/>
              <w:right w:type="dxa" w:w="120"/>
            </w:tcMar>
          </w:tcPr>
          <w:p>
            <w:pPr>
              <w:spacing w:after="0" w:line="260"/>
              <w:jc w:val="left"/>
            </w:pPr>
            <w:r>
              <w:rPr>
                <w:b/>
                <w:bCs/>
                <w:color w:val="1A1A1A"/>
                <w:sz w:val="19"/>
                <w:szCs w:val="19"/>
              </w:rPr>
              <w:t xml:space="preserve">Status at Tuscany</w:t>
            </w:r>
          </w:p>
        </w:tc>
        <w:tc>
          <w:tcPr>
            <w:tcW w:type="dxa" w:w="6160"/>
            <w:shd w:fill="EFEAE0" w:color="auto" w:val="clear"/>
            <w:tcMar>
              <w:top w:type="dxa" w:w="90"/>
              <w:left w:type="dxa" w:w="120"/>
              <w:bottom w:type="dxa" w:w="90"/>
              <w:right w:type="dxa" w:w="120"/>
            </w:tcMar>
          </w:tcPr>
          <w:p>
            <w:pPr>
              <w:spacing w:after="0" w:line="260"/>
              <w:jc w:val="left"/>
            </w:pPr>
            <w:r>
              <w:rPr>
                <w:b/>
                <w:bCs/>
                <w:color w:val="1A1A1A"/>
                <w:sz w:val="19"/>
                <w:szCs w:val="19"/>
              </w:rPr>
              <w:t xml:space="preserve">Consequence</w:t>
            </w:r>
          </w:p>
        </w:tc>
      </w:tr>
      <w:tr>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trailing_28</w:t>
            </w:r>
          </w:p>
        </w:tc>
        <w:tc>
          <w:tcPr>
            <w:tcW w:type="dxa" w:w="1500"/>
            <w:tcMar>
              <w:top w:type="dxa" w:w="90"/>
              <w:left w:type="dxa" w:w="120"/>
              <w:bottom w:type="dxa" w:w="90"/>
              <w:right w:type="dxa" w:w="120"/>
            </w:tcMar>
          </w:tcPr>
          <w:p>
            <w:pPr>
              <w:spacing w:after="0" w:line="260"/>
              <w:jc w:val="left"/>
            </w:pPr>
            <w:r>
              <w:rPr>
                <w:b w:val="false"/>
                <w:bCs w:val="false"/>
                <w:color w:val="1B5E20"/>
                <w:sz w:val="19"/>
                <w:szCs w:val="19"/>
              </w:rPr>
              <w:t xml:space="preserve">Valid</w:t>
            </w:r>
          </w:p>
        </w:tc>
        <w:tc>
          <w:tcPr>
            <w:tcW w:type="dxa" w:w="6160"/>
            <w:tcMar>
              <w:top w:type="dxa" w:w="90"/>
              <w:left w:type="dxa" w:w="120"/>
              <w:bottom w:type="dxa" w:w="90"/>
              <w:right w:type="dxa" w:w="120"/>
            </w:tcMar>
          </w:tcPr>
          <w:p>
            <w:pPr>
              <w:spacing w:after="0" w:line="260"/>
              <w:jc w:val="left"/>
            </w:pPr>
            <w:r>
              <w:rPr>
                <w:b w:val="false"/>
                <w:bCs w:val="false"/>
                <w:color w:val="1A1A1A"/>
                <w:sz w:val="19"/>
                <w:szCs w:val="19"/>
              </w:rPr>
              <w:t xml:space="preserve">A 28-day trailing rate. The only independent comparison available.</w:t>
            </w:r>
          </w:p>
        </w:tc>
      </w:tr>
      <w:tr>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last_year</w:t>
            </w:r>
          </w:p>
        </w:tc>
        <w:tc>
          <w:tcPr>
            <w:tcW w:type="dxa" w:w="1500"/>
            <w:shd w:fill="FAF8F4" w:color="auto" w:val="clear"/>
            <w:tcMar>
              <w:top w:type="dxa" w:w="90"/>
              <w:left w:type="dxa" w:w="120"/>
              <w:bottom w:type="dxa" w:w="90"/>
              <w:right w:type="dxa" w:w="120"/>
            </w:tcMar>
          </w:tcPr>
          <w:p>
            <w:pPr>
              <w:spacing w:after="0" w:line="260"/>
              <w:jc w:val="left"/>
            </w:pPr>
            <w:r>
              <w:rPr>
                <w:b w:val="false"/>
                <w:bCs w:val="false"/>
                <w:color w:val="8A4B08"/>
                <w:sz w:val="19"/>
                <w:szCs w:val="19"/>
              </w:rPr>
              <w:t xml:space="preserve">Collapsed</w:t>
            </w:r>
          </w:p>
        </w:tc>
        <w:tc>
          <w:tcPr>
            <w:tcW w:type="dxa" w:w="6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Needs the same calendar window one year earlier. With no history there the estimator falls back to the trailing rate, so it is numerically IDENTICAL to trailing_28 on 2,974 of 2,974 forecasts. Beating it is a tautology.</w:t>
            </w:r>
          </w:p>
        </w:tc>
      </w:tr>
      <w:tr>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year_average</w:t>
            </w:r>
          </w:p>
        </w:tc>
        <w:tc>
          <w:tcPr>
            <w:tcW w:type="dxa" w:w="1500"/>
            <w:tcMar>
              <w:top w:type="dxa" w:w="90"/>
              <w:left w:type="dxa" w:w="120"/>
              <w:bottom w:type="dxa" w:w="90"/>
              <w:right w:type="dxa" w:w="120"/>
            </w:tcMar>
          </w:tcPr>
          <w:p>
            <w:pPr>
              <w:spacing w:after="0" w:line="260"/>
              <w:jc w:val="left"/>
            </w:pPr>
            <w:r>
              <w:rPr>
                <w:b w:val="false"/>
                <w:bCs w:val="false"/>
                <w:color w:val="8A4B08"/>
                <w:sz w:val="19"/>
                <w:szCs w:val="19"/>
              </w:rPr>
              <w:t xml:space="preserve">Mislabelled</w:t>
            </w:r>
          </w:p>
        </w:tc>
        <w:tc>
          <w:tcPr>
            <w:tcW w:type="dxa" w:w="6160"/>
            <w:tcMar>
              <w:top w:type="dxa" w:w="90"/>
              <w:left w:type="dxa" w:w="120"/>
              <w:bottom w:type="dxa" w:w="90"/>
              <w:right w:type="dxa" w:w="120"/>
            </w:tcMar>
          </w:tcPr>
          <w:p>
            <w:pPr>
              <w:spacing w:after="0" w:line="260"/>
              <w:jc w:val="left"/>
            </w:pPr>
            <w:r>
              <w:rPr>
                <w:b w:val="false"/>
                <w:bCs w:val="false"/>
                <w:color w:val="1A1A1A"/>
                <w:sz w:val="19"/>
                <w:szCs w:val="19"/>
              </w:rPr>
              <w:t xml:space="preserve">Computes an average over whatever history exists. Here that is about three months, not a year, so it sits very close to the engine's own long-run term.</w:t>
            </w:r>
          </w:p>
        </w:tc>
      </w:tr>
    </w:tbl>
    <w:p>
      <w:pPr>
        <w:pStyle w:val="Heading1"/>
        <w:spacing w:after="140" w:before="360"/>
      </w:pPr>
      <w:r>
        <w:rPr>
          <w:b/>
          <w:bCs/>
          <w:color w:val="1A1A1A"/>
          <w:sz w:val="30"/>
          <w:szCs w:val="30"/>
        </w:rPr>
        <w:t xml:space="preserve">Part 2. The recommender</w:t>
      </w:r>
    </w:p>
    <w:p>
      <w:pPr>
        <w:spacing w:after="130" w:line="300"/>
      </w:pPr>
      <w:r>
        <w:rPr>
          <w:b w:val="false"/>
          <w:bCs w:val="false"/>
          <w:i w:val="false"/>
          <w:iCs w:val="false"/>
          <w:color w:val="1A1A1A"/>
          <w:sz w:val="21"/>
          <w:szCs w:val="21"/>
        </w:rPr>
        <w:t xml:space="preserve">Question: when the engine issues a card, does the recommended product then sell at least what its own trailing rate implied? This is the "hit rate" sense of accuracy, and the figure most often quoted. Measured over 12 decision dates at the same shortened windows.</w:t>
      </w:r>
    </w:p>
    <w:p>
      <w:pPr>
        <w:pStyle w:val="Heading2"/>
        <w:spacing w:after="110" w:before="280"/>
      </w:pPr>
      <w:r>
        <w:rPr>
          <w:b/>
          <w:bCs/>
          <w:color w:val="1A1A1A"/>
          <w:sz w:val="25"/>
          <w:szCs w:val="25"/>
        </w:rPr>
        <w:t xml:space="preserve">Result</w:t>
      </w:r>
    </w:p>
    <w:tbl>
      <w:tblPr>
        <w:tblW w:type="dxa" w:w="9360"/>
        <w:tblBorders>
          <w:top w:val="single" w:color="C8C8C8" w:sz="4"/>
          <w:left w:val="none"/>
          <w:bottom w:val="single" w:color="C8C8C8" w:sz="4"/>
          <w:right w:val="none"/>
          <w:insideH w:val="single" w:color="E4E0D8" w:sz="2"/>
          <w:insideV w:val="none"/>
        </w:tblBorders>
      </w:tblPr>
      <w:tblGrid>
        <w:gridCol w:w="2250"/>
        <w:gridCol w:w="1500"/>
        <w:gridCol w:w="5610"/>
      </w:tblGrid>
      <w:tr>
        <w:trPr>
          <w:tblHeader/>
        </w:trPr>
        <w:tc>
          <w:tcPr>
            <w:tcW w:type="dxa" w:w="2250"/>
            <w:shd w:fill="EFEAE0" w:color="auto" w:val="clear"/>
            <w:tcMar>
              <w:top w:type="dxa" w:w="90"/>
              <w:left w:type="dxa" w:w="120"/>
              <w:bottom w:type="dxa" w:w="90"/>
              <w:right w:type="dxa" w:w="120"/>
            </w:tcMar>
          </w:tcPr>
          <w:p>
            <w:pPr>
              <w:spacing w:after="0" w:line="260"/>
              <w:jc w:val="left"/>
            </w:pPr>
            <w:r>
              <w:rPr>
                <w:b/>
                <w:bCs/>
                <w:color w:val="1A1A1A"/>
                <w:sz w:val="19"/>
                <w:szCs w:val="19"/>
              </w:rPr>
              <w:t xml:space="preserve">Measure</w:t>
            </w:r>
          </w:p>
        </w:tc>
        <w:tc>
          <w:tcPr>
            <w:tcW w:type="dxa" w:w="15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Value</w:t>
            </w:r>
          </w:p>
        </w:tc>
        <w:tc>
          <w:tcPr>
            <w:tcW w:type="dxa" w:w="561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What it means</w:t>
            </w:r>
          </w:p>
        </w:tc>
      </w:tr>
      <w:tr>
        <w:tc>
          <w:tcPr>
            <w:tcW w:type="dxa" w:w="2250"/>
            <w:tcMar>
              <w:top w:type="dxa" w:w="90"/>
              <w:left w:type="dxa" w:w="120"/>
              <w:bottom w:type="dxa" w:w="90"/>
              <w:right w:type="dxa" w:w="120"/>
            </w:tcMar>
          </w:tcPr>
          <w:p>
            <w:pPr>
              <w:spacing w:after="0" w:line="260"/>
              <w:jc w:val="left"/>
            </w:pPr>
            <w:r>
              <w:rPr>
                <w:b w:val="false"/>
                <w:bCs w:val="false"/>
                <w:color w:val="8A4B08"/>
                <w:sz w:val="19"/>
                <w:szCs w:val="19"/>
              </w:rPr>
              <w:t xml:space="preserve">Hit rate</w:t>
            </w:r>
          </w:p>
        </w:tc>
        <w:tc>
          <w:tcPr>
            <w:tcW w:type="dxa" w:w="1500"/>
            <w:tcMar>
              <w:top w:type="dxa" w:w="90"/>
              <w:left w:type="dxa" w:w="120"/>
              <w:bottom w:type="dxa" w:w="90"/>
              <w:right w:type="dxa" w:w="120"/>
            </w:tcMar>
          </w:tcPr>
          <w:p>
            <w:pPr>
              <w:spacing w:after="0" w:line="260"/>
              <w:jc w:val="right"/>
            </w:pPr>
            <w:r>
              <w:rPr>
                <w:b w:val="false"/>
                <w:bCs w:val="false"/>
                <w:color w:val="8A4B08"/>
                <w:sz w:val="19"/>
                <w:szCs w:val="19"/>
              </w:rPr>
              <w:t xml:space="preserve">22.2%</w:t>
            </w:r>
          </w:p>
        </w:tc>
        <w:tc>
          <w:tcPr>
            <w:tcW w:type="dxa" w:w="5610"/>
            <w:tcMar>
              <w:top w:type="dxa" w:w="90"/>
              <w:left w:type="dxa" w:w="120"/>
              <w:bottom w:type="dxa" w:w="90"/>
              <w:right w:type="dxa" w:w="120"/>
            </w:tcMar>
          </w:tcPr>
          <w:p>
            <w:pPr>
              <w:spacing w:after="0" w:line="260"/>
              <w:jc w:val="left"/>
            </w:pPr>
            <w:r>
              <w:rPr>
                <w:b w:val="false"/>
                <w:bCs w:val="false"/>
                <w:color w:val="1A1A1A"/>
                <w:sz w:val="19"/>
                <w:szCs w:val="19"/>
              </w:rPr>
              <w:t xml:space="preserve">4 hits from 18 cards. Wilson interval 9.0% to 45.2%.</w:t>
            </w:r>
          </w:p>
        </w:tc>
      </w:tr>
      <w:tr>
        <w:tc>
          <w:tcPr>
            <w:tcW w:type="dxa" w:w="225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Date-clustered interval</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0.0% to 44.4%</w:t>
            </w:r>
          </w:p>
        </w:tc>
        <w:tc>
          <w:tcPr>
            <w:tcW w:type="dxa" w:w="561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The interval to quote. Cards issued on one morning share a market, so clustering by date is the only honest resampling.</w:t>
            </w:r>
          </w:p>
        </w:tc>
      </w:tr>
      <w:tr>
        <w:tc>
          <w:tcPr>
            <w:tcW w:type="dxa" w:w="2250"/>
            <w:tcMar>
              <w:top w:type="dxa" w:w="90"/>
              <w:left w:type="dxa" w:w="120"/>
              <w:bottom w:type="dxa" w:w="90"/>
              <w:right w:type="dxa" w:w="120"/>
            </w:tcMar>
          </w:tcPr>
          <w:p>
            <w:pPr>
              <w:spacing w:after="0" w:line="260"/>
              <w:jc w:val="left"/>
            </w:pPr>
            <w:r>
              <w:rPr>
                <w:b w:val="false"/>
                <w:bCs w:val="false"/>
                <w:color w:val="1A1A1A"/>
                <w:sz w:val="19"/>
                <w:szCs w:val="19"/>
              </w:rPr>
              <w:t xml:space="preserve">Null, volume-matched</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38.0%</w:t>
            </w:r>
          </w:p>
        </w:tc>
        <w:tc>
          <w:tcPr>
            <w:tcW w:type="dxa" w:w="5610"/>
            <w:tcMar>
              <w:top w:type="dxa" w:w="90"/>
              <w:left w:type="dxa" w:w="120"/>
              <w:bottom w:type="dxa" w:w="90"/>
              <w:right w:type="dxa" w:w="120"/>
            </w:tcMar>
          </w:tcPr>
          <w:p>
            <w:pPr>
              <w:spacing w:after="0" w:line="260"/>
              <w:jc w:val="left"/>
            </w:pPr>
            <w:r>
              <w:rPr>
                <w:b w:val="false"/>
                <w:bCs w:val="false"/>
                <w:color w:val="1A1A1A"/>
                <w:sz w:val="19"/>
                <w:szCs w:val="19"/>
              </w:rPr>
              <w:t xml:space="preserve">Random baskets of similar volume. Engine edge -15.8 points.</w:t>
            </w:r>
          </w:p>
        </w:tc>
      </w:tr>
      <w:tr>
        <w:tc>
          <w:tcPr>
            <w:tcW w:type="dxa" w:w="2250"/>
            <w:shd w:fill="FAF8F4" w:color="auto" w:val="clear"/>
            <w:tcMar>
              <w:top w:type="dxa" w:w="90"/>
              <w:left w:type="dxa" w:w="120"/>
              <w:bottom w:type="dxa" w:w="90"/>
              <w:right w:type="dxa" w:w="120"/>
            </w:tcMar>
          </w:tcPr>
          <w:p>
            <w:pPr>
              <w:spacing w:after="0" w:line="260"/>
              <w:jc w:val="left"/>
            </w:pPr>
            <w:r>
              <w:rPr>
                <w:b w:val="false"/>
                <w:bCs w:val="false"/>
                <w:color w:val="8A4B08"/>
                <w:sz w:val="19"/>
                <w:szCs w:val="19"/>
              </w:rPr>
              <w:t xml:space="preserve">Null, reversion-matched</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53.2%</w:t>
            </w:r>
          </w:p>
        </w:tc>
        <w:tc>
          <w:tcPr>
            <w:tcW w:type="dxa" w:w="561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Random baskets with a similar reversion profile. Engine edge -30.9 points. This is the honest null and the engine is behind it.</w:t>
            </w:r>
          </w:p>
        </w:tc>
      </w:tr>
      <w:tr>
        <w:tc>
          <w:tcPr>
            <w:tcW w:type="dxa" w:w="2250"/>
            <w:tcMar>
              <w:top w:type="dxa" w:w="90"/>
              <w:left w:type="dxa" w:w="120"/>
              <w:bottom w:type="dxa" w:w="90"/>
              <w:right w:type="dxa" w:w="120"/>
            </w:tcMar>
          </w:tcPr>
          <w:p>
            <w:pPr>
              <w:spacing w:after="0" w:line="260"/>
              <w:jc w:val="left"/>
            </w:pPr>
            <w:r>
              <w:rPr>
                <w:b w:val="false"/>
                <w:bCs w:val="false"/>
                <w:color w:val="1A1A1A"/>
                <w:sz w:val="19"/>
                <w:szCs w:val="19"/>
              </w:rPr>
              <w:t xml:space="preserve">Percentile vs the hard null</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32.1</w:t>
            </w:r>
          </w:p>
        </w:tc>
        <w:tc>
          <w:tcPr>
            <w:tcW w:type="dxa" w:w="5610"/>
            <w:tcMar>
              <w:top w:type="dxa" w:w="90"/>
              <w:left w:type="dxa" w:w="120"/>
              <w:bottom w:type="dxa" w:w="90"/>
              <w:right w:type="dxa" w:w="120"/>
            </w:tcMar>
          </w:tcPr>
          <w:p>
            <w:pPr>
              <w:spacing w:after="0" w:line="260"/>
              <w:jc w:val="left"/>
            </w:pPr>
            <w:r>
              <w:rPr>
                <w:b w:val="false"/>
                <w:bCs w:val="false"/>
                <w:color w:val="1A1A1A"/>
                <w:sz w:val="19"/>
                <w:szCs w:val="19"/>
              </w:rPr>
              <w:t xml:space="preserve">50 would be no skill. Below 50 is worse than the matched null.</w:t>
            </w:r>
          </w:p>
        </w:tc>
      </w:tr>
      <w:tr>
        <w:tc>
          <w:tcPr>
            <w:tcW w:type="dxa" w:w="225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p-value</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0.9990</w:t>
            </w:r>
          </w:p>
        </w:tc>
        <w:tc>
          <w:tcPr>
            <w:tcW w:type="dxa" w:w="561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Pooled permutation against the hard null. Cannot reject "no skill", and with this n the test is near powerless.</w:t>
            </w:r>
          </w:p>
        </w:tc>
      </w:tr>
      <w:tr>
        <w:tc>
          <w:tcPr>
            <w:tcW w:type="dxa" w:w="2250"/>
            <w:tcMar>
              <w:top w:type="dxa" w:w="90"/>
              <w:left w:type="dxa" w:w="120"/>
              <w:bottom w:type="dxa" w:w="90"/>
              <w:right w:type="dxa" w:w="120"/>
            </w:tcMar>
          </w:tcPr>
          <w:p>
            <w:pPr>
              <w:spacing w:after="0" w:line="260"/>
              <w:jc w:val="left"/>
            </w:pPr>
            <w:r>
              <w:rPr>
                <w:b w:val="false"/>
                <w:bCs w:val="false"/>
                <w:color w:val="1A1A1A"/>
                <w:sz w:val="19"/>
                <w:szCs w:val="19"/>
              </w:rPr>
              <w:t xml:space="preserve">Median lift</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0.41x</w:t>
            </w:r>
          </w:p>
        </w:tc>
        <w:tc>
          <w:tcPr>
            <w:tcW w:type="dxa" w:w="5610"/>
            <w:tcMar>
              <w:top w:type="dxa" w:w="90"/>
              <w:left w:type="dxa" w:w="120"/>
              <w:bottom w:type="dxa" w:w="90"/>
              <w:right w:type="dxa" w:w="120"/>
            </w:tcMar>
          </w:tcPr>
          <w:p>
            <w:pPr>
              <w:spacing w:after="0" w:line="260"/>
              <w:jc w:val="left"/>
            </w:pPr>
            <w:r>
              <w:rPr>
                <w:b w:val="false"/>
                <w:bCs w:val="false"/>
                <w:color w:val="1A1A1A"/>
                <w:sz w:val="19"/>
                <w:szCs w:val="19"/>
              </w:rPr>
              <w:t xml:space="preserve">Below 1.0 means the median recommended SKU sold less than its trailing rate implied.</w:t>
            </w:r>
          </w:p>
        </w:tc>
      </w:tr>
      <w:tr>
        <w:tc>
          <w:tcPr>
            <w:tcW w:type="dxa" w:w="225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Incremental margin</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-$21.78</w:t>
            </w:r>
          </w:p>
        </w:tc>
        <w:tc>
          <w:tcPr>
            <w:tcW w:type="dxa" w:w="561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Against each SKU's own trailing rate. The hard null earned $52 over the same windows.</w:t>
            </w:r>
          </w:p>
        </w:tc>
      </w:tr>
      <w:tr>
        <w:tc>
          <w:tcPr>
            <w:tcW w:type="dxa" w:w="2250"/>
            <w:tcMar>
              <w:top w:type="dxa" w:w="90"/>
              <w:left w:type="dxa" w:w="120"/>
              <w:bottom w:type="dxa" w:w="90"/>
              <w:right w:type="dxa" w:w="120"/>
            </w:tcMar>
          </w:tcPr>
          <w:p>
            <w:pPr>
              <w:spacing w:after="0" w:line="260"/>
              <w:jc w:val="left"/>
            </w:pPr>
            <w:r>
              <w:rPr>
                <w:b w:val="false"/>
                <w:bCs w:val="false"/>
                <w:color w:val="1A1A1A"/>
                <w:sz w:val="19"/>
                <w:szCs w:val="19"/>
              </w:rPr>
              <w:t xml:space="preserve">Per card</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-$1.21</w:t>
            </w:r>
          </w:p>
        </w:tc>
        <w:tc>
          <w:tcPr>
            <w:tcW w:type="dxa" w:w="5610"/>
            <w:tcMar>
              <w:top w:type="dxa" w:w="90"/>
              <w:left w:type="dxa" w:w="120"/>
              <w:bottom w:type="dxa" w:w="90"/>
              <w:right w:type="dxa" w:w="120"/>
            </w:tcMar>
          </w:tcPr>
          <w:p>
            <w:pPr>
              <w:spacing w:after="0" w:line="260"/>
              <w:jc w:val="left"/>
            </w:pPr>
            <w:r>
              <w:rPr>
                <w:b w:val="false"/>
                <w:bCs w:val="false"/>
                <w:color w:val="1A1A1A"/>
                <w:sz w:val="19"/>
                <w:szCs w:val="19"/>
              </w:rPr>
              <w:t xml:space="preserve">The like-for-like economic figure.</w:t>
            </w:r>
          </w:p>
        </w:tc>
      </w:tr>
      <w:tr>
        <w:tc>
          <w:tcPr>
            <w:tcW w:type="dxa" w:w="2250"/>
            <w:shd w:fill="FAF8F4" w:color="auto" w:val="clear"/>
            <w:tcMar>
              <w:top w:type="dxa" w:w="90"/>
              <w:left w:type="dxa" w:w="120"/>
              <w:bottom w:type="dxa" w:w="90"/>
              <w:right w:type="dxa" w:w="120"/>
            </w:tcMar>
          </w:tcPr>
          <w:p>
            <w:pPr>
              <w:spacing w:after="0" w:line="260"/>
              <w:jc w:val="left"/>
            </w:pPr>
            <w:r>
              <w:rPr>
                <w:b w:val="false"/>
                <w:bCs w:val="false"/>
                <w:color w:val="8A4B08"/>
                <w:sz w:val="19"/>
                <w:szCs w:val="19"/>
              </w:rPr>
              <w:t xml:space="preserve">Cards per run</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1.2</w:t>
            </w:r>
          </w:p>
        </w:tc>
        <w:tc>
          <w:tcPr>
            <w:tcW w:type="dxa" w:w="561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Across 15 runs. The engine is almost always declining to act.</w:t>
            </w:r>
          </w:p>
        </w:tc>
      </w:tr>
    </w:tbl>
    <w:p>
      <w:pPr>
        <w:pStyle w:val="Heading2"/>
        <w:spacing w:after="110" w:before="280"/>
      </w:pPr>
      <w:r>
        <w:rPr>
          <w:b/>
          <w:bCs/>
          <w:color w:val="1A1A1A"/>
          <w:sz w:val="25"/>
          <w:szCs w:val="25"/>
        </w:rPr>
        <w:t xml:space="preserve">By horizon</w:t>
      </w:r>
    </w:p>
    <w:tbl>
      <w:tblPr>
        <w:tblW w:type="dxa" w:w="9360"/>
        <w:tblBorders>
          <w:top w:val="single" w:color="C8C8C8" w:sz="4"/>
          <w:left w:val="none"/>
          <w:bottom w:val="single" w:color="C8C8C8" w:sz="4"/>
          <w:right w:val="none"/>
          <w:insideH w:val="single" w:color="E4E0D8" w:sz="2"/>
          <w:insideV w:val="none"/>
        </w:tblBorders>
      </w:tblPr>
      <w:tblGrid>
        <w:gridCol w:w="1100"/>
        <w:gridCol w:w="900"/>
        <w:gridCol w:w="800"/>
        <w:gridCol w:w="1200"/>
        <w:gridCol w:w="2060"/>
        <w:gridCol w:w="1800"/>
        <w:gridCol w:w="1500"/>
      </w:tblGrid>
      <w:tr>
        <w:trPr>
          <w:tblHeader/>
        </w:trPr>
        <w:tc>
          <w:tcPr>
            <w:tcW w:type="dxa" w:w="1100"/>
            <w:shd w:fill="EFEAE0" w:color="auto" w:val="clear"/>
            <w:tcMar>
              <w:top w:type="dxa" w:w="90"/>
              <w:left w:type="dxa" w:w="120"/>
              <w:bottom w:type="dxa" w:w="90"/>
              <w:right w:type="dxa" w:w="120"/>
            </w:tcMar>
          </w:tcPr>
          <w:p>
            <w:pPr>
              <w:spacing w:after="0" w:line="260"/>
              <w:jc w:val="left"/>
            </w:pPr>
            <w:r>
              <w:rPr>
                <w:b/>
                <w:bCs/>
                <w:color w:val="1A1A1A"/>
                <w:sz w:val="19"/>
                <w:szCs w:val="19"/>
              </w:rPr>
              <w:t xml:space="preserve">Horizon</w:t>
            </w:r>
          </w:p>
        </w:tc>
        <w:tc>
          <w:tcPr>
            <w:tcW w:type="dxa" w:w="9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Cards</w:t>
            </w:r>
          </w:p>
        </w:tc>
        <w:tc>
          <w:tcPr>
            <w:tcW w:type="dxa" w:w="8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Hits</w:t>
            </w:r>
          </w:p>
        </w:tc>
        <w:tc>
          <w:tcPr>
            <w:tcW w:type="dxa" w:w="12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Hit rate</w:t>
            </w:r>
          </w:p>
        </w:tc>
        <w:tc>
          <w:tcPr>
            <w:tcW w:type="dxa" w:w="2060"/>
            <w:shd w:fill="EFEAE0" w:color="auto" w:val="clear"/>
            <w:tcMar>
              <w:top w:type="dxa" w:w="90"/>
              <w:left w:type="dxa" w:w="120"/>
              <w:bottom w:type="dxa" w:w="90"/>
              <w:right w:type="dxa" w:w="120"/>
            </w:tcMar>
          </w:tcPr>
          <w:p>
            <w:pPr>
              <w:spacing w:after="0" w:line="260"/>
              <w:jc w:val="center"/>
            </w:pPr>
            <w:r>
              <w:rPr>
                <w:b/>
                <w:bCs/>
                <w:color w:val="1A1A1A"/>
                <w:sz w:val="19"/>
                <w:szCs w:val="19"/>
              </w:rPr>
              <w:t xml:space="preserve">95% CI</w:t>
            </w:r>
          </w:p>
        </w:tc>
        <w:tc>
          <w:tcPr>
            <w:tcW w:type="dxa" w:w="18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Reversion null</w:t>
            </w:r>
          </w:p>
        </w:tc>
        <w:tc>
          <w:tcPr>
            <w:tcW w:type="dxa" w:w="15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Edge</w:t>
            </w:r>
          </w:p>
        </w:tc>
      </w:tr>
      <w:tr>
        <w:tc>
          <w:tcPr>
            <w:tcW w:type="dxa" w:w="1100"/>
            <w:tcMar>
              <w:top w:type="dxa" w:w="90"/>
              <w:left w:type="dxa" w:w="120"/>
              <w:bottom w:type="dxa" w:w="90"/>
              <w:right w:type="dxa" w:w="120"/>
            </w:tcMar>
          </w:tcPr>
          <w:p>
            <w:pPr>
              <w:spacing w:after="0" w:line="260"/>
              <w:jc w:val="left"/>
            </w:pPr>
            <w:r>
              <w:rPr>
                <w:b w:val="false"/>
                <w:bCs w:val="false"/>
                <w:color w:val="1A1A1A"/>
                <w:sz w:val="19"/>
                <w:szCs w:val="19"/>
              </w:rPr>
              <w:t xml:space="preserve">10 days</w:t>
            </w:r>
          </w:p>
        </w:tc>
        <w:tc>
          <w:tcPr>
            <w:tcW w:type="dxa" w:w="900"/>
            <w:tcMar>
              <w:top w:type="dxa" w:w="90"/>
              <w:left w:type="dxa" w:w="120"/>
              <w:bottom w:type="dxa" w:w="90"/>
              <w:right w:type="dxa" w:w="120"/>
            </w:tcMar>
          </w:tcPr>
          <w:p>
            <w:pPr>
              <w:spacing w:after="0" w:line="260"/>
              <w:jc w:val="right"/>
            </w:pPr>
            <w:r>
              <w:rPr>
                <w:b w:val="false"/>
                <w:bCs w:val="false"/>
                <w:color w:val="1A1A1A"/>
                <w:sz w:val="19"/>
                <w:szCs w:val="19"/>
              </w:rPr>
              <w:t xml:space="preserve">6</w:t>
            </w:r>
          </w:p>
        </w:tc>
        <w:tc>
          <w:tcPr>
            <w:tcW w:type="dxa" w:w="800"/>
            <w:tcMar>
              <w:top w:type="dxa" w:w="90"/>
              <w:left w:type="dxa" w:w="120"/>
              <w:bottom w:type="dxa" w:w="90"/>
              <w:right w:type="dxa" w:w="120"/>
            </w:tcMar>
          </w:tcPr>
          <w:p>
            <w:pPr>
              <w:spacing w:after="0" w:line="260"/>
              <w:jc w:val="right"/>
            </w:pPr>
            <w:r>
              <w:rPr>
                <w:b w:val="false"/>
                <w:bCs w:val="false"/>
                <w:color w:val="1A1A1A"/>
                <w:sz w:val="19"/>
                <w:szCs w:val="19"/>
              </w:rPr>
              <w:t xml:space="preserve">1</w:t>
            </w:r>
          </w:p>
        </w:tc>
        <w:tc>
          <w:tcPr>
            <w:tcW w:type="dxa" w:w="1200"/>
            <w:tcMar>
              <w:top w:type="dxa" w:w="90"/>
              <w:left w:type="dxa" w:w="120"/>
              <w:bottom w:type="dxa" w:w="90"/>
              <w:right w:type="dxa" w:w="120"/>
            </w:tcMar>
          </w:tcPr>
          <w:p>
            <w:pPr>
              <w:spacing w:after="0" w:line="260"/>
              <w:jc w:val="right"/>
            </w:pPr>
            <w:r>
              <w:rPr>
                <w:b w:val="false"/>
                <w:bCs w:val="false"/>
                <w:color w:val="1A1A1A"/>
                <w:sz w:val="19"/>
                <w:szCs w:val="19"/>
              </w:rPr>
              <w:t xml:space="preserve">16.7%</w:t>
            </w:r>
          </w:p>
        </w:tc>
        <w:tc>
          <w:tcPr>
            <w:tcW w:type="dxa" w:w="2060"/>
            <w:tcMar>
              <w:top w:type="dxa" w:w="90"/>
              <w:left w:type="dxa" w:w="120"/>
              <w:bottom w:type="dxa" w:w="90"/>
              <w:right w:type="dxa" w:w="120"/>
            </w:tcMar>
          </w:tcPr>
          <w:p>
            <w:pPr>
              <w:spacing w:after="0" w:line="260"/>
              <w:jc w:val="center"/>
            </w:pPr>
            <w:r>
              <w:rPr>
                <w:b w:val="false"/>
                <w:bCs w:val="false"/>
                <w:color w:val="1A1A1A"/>
                <w:sz w:val="19"/>
                <w:szCs w:val="19"/>
              </w:rPr>
              <w:t xml:space="preserve">3.0% - 56.4%</w:t>
            </w:r>
          </w:p>
        </w:tc>
        <w:tc>
          <w:tcPr>
            <w:tcW w:type="dxa" w:w="1800"/>
            <w:tcMar>
              <w:top w:type="dxa" w:w="90"/>
              <w:left w:type="dxa" w:w="120"/>
              <w:bottom w:type="dxa" w:w="90"/>
              <w:right w:type="dxa" w:w="120"/>
            </w:tcMar>
          </w:tcPr>
          <w:p>
            <w:pPr>
              <w:spacing w:after="0" w:line="260"/>
              <w:jc w:val="right"/>
            </w:pPr>
            <w:r>
              <w:rPr>
                <w:b w:val="false"/>
                <w:bCs w:val="false"/>
                <w:color w:val="1A1A1A"/>
                <w:sz w:val="19"/>
                <w:szCs w:val="19"/>
              </w:rPr>
              <w:t xml:space="preserve">50.5%</w:t>
            </w:r>
          </w:p>
        </w:tc>
        <w:tc>
          <w:tcPr>
            <w:tcW w:type="dxa" w:w="1500"/>
            <w:tcMar>
              <w:top w:type="dxa" w:w="90"/>
              <w:left w:type="dxa" w:w="120"/>
              <w:bottom w:type="dxa" w:w="90"/>
              <w:right w:type="dxa" w:w="120"/>
            </w:tcMar>
          </w:tcPr>
          <w:p>
            <w:pPr>
              <w:spacing w:after="0" w:line="260"/>
              <w:jc w:val="right"/>
            </w:pPr>
            <w:r>
              <w:rPr>
                <w:b w:val="false"/>
                <w:bCs w:val="false"/>
                <w:color w:val="8A4B08"/>
                <w:sz w:val="19"/>
                <w:szCs w:val="19"/>
              </w:rPr>
              <w:t xml:space="preserve">-33.8 pts</w:t>
            </w:r>
          </w:p>
        </w:tc>
      </w:tr>
      <w:tr>
        <w:tc>
          <w:tcPr>
            <w:tcW w:type="dxa" w:w="11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 days</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6</w:t>
            </w:r>
          </w:p>
        </w:tc>
        <w:tc>
          <w:tcPr>
            <w:tcW w:type="dxa" w:w="8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2</w:t>
            </w:r>
          </w:p>
        </w:tc>
        <w:tc>
          <w:tcPr>
            <w:tcW w:type="dxa" w:w="12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33.3%</w:t>
            </w:r>
          </w:p>
        </w:tc>
        <w:tc>
          <w:tcPr>
            <w:tcW w:type="dxa" w:w="2060"/>
            <w:shd w:fill="FAF8F4" w:color="auto" w:val="clear"/>
            <w:tcMar>
              <w:top w:type="dxa" w:w="90"/>
              <w:left w:type="dxa" w:w="120"/>
              <w:bottom w:type="dxa" w:w="90"/>
              <w:right w:type="dxa" w:w="120"/>
            </w:tcMar>
          </w:tcPr>
          <w:p>
            <w:pPr>
              <w:spacing w:after="0" w:line="260"/>
              <w:jc w:val="center"/>
            </w:pPr>
            <w:r>
              <w:rPr>
                <w:b w:val="false"/>
                <w:bCs w:val="false"/>
                <w:color w:val="1A1A1A"/>
                <w:sz w:val="19"/>
                <w:szCs w:val="19"/>
              </w:rPr>
              <w:t xml:space="preserve">9.7% - 70.0%</w:t>
            </w:r>
          </w:p>
        </w:tc>
        <w:tc>
          <w:tcPr>
            <w:tcW w:type="dxa" w:w="18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57.8%</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-24.5 pts</w:t>
            </w:r>
          </w:p>
        </w:tc>
      </w:tr>
      <w:tr>
        <w:tc>
          <w:tcPr>
            <w:tcW w:type="dxa" w:w="1100"/>
            <w:tcMar>
              <w:top w:type="dxa" w:w="90"/>
              <w:left w:type="dxa" w:w="120"/>
              <w:bottom w:type="dxa" w:w="90"/>
              <w:right w:type="dxa" w:w="120"/>
            </w:tcMar>
          </w:tcPr>
          <w:p>
            <w:pPr>
              <w:spacing w:after="0" w:line="260"/>
              <w:jc w:val="left"/>
            </w:pPr>
            <w:r>
              <w:rPr>
                <w:b w:val="false"/>
                <w:bCs w:val="false"/>
                <w:color w:val="1A1A1A"/>
                <w:sz w:val="19"/>
                <w:szCs w:val="19"/>
              </w:rPr>
              <w:t xml:space="preserve">30 days</w:t>
            </w:r>
          </w:p>
        </w:tc>
        <w:tc>
          <w:tcPr>
            <w:tcW w:type="dxa" w:w="900"/>
            <w:tcMar>
              <w:top w:type="dxa" w:w="90"/>
              <w:left w:type="dxa" w:w="120"/>
              <w:bottom w:type="dxa" w:w="90"/>
              <w:right w:type="dxa" w:w="120"/>
            </w:tcMar>
          </w:tcPr>
          <w:p>
            <w:pPr>
              <w:spacing w:after="0" w:line="260"/>
              <w:jc w:val="right"/>
            </w:pPr>
            <w:r>
              <w:rPr>
                <w:b w:val="false"/>
                <w:bCs w:val="false"/>
                <w:color w:val="1A1A1A"/>
                <w:sz w:val="19"/>
                <w:szCs w:val="19"/>
              </w:rPr>
              <w:t xml:space="preserve">6</w:t>
            </w:r>
          </w:p>
        </w:tc>
        <w:tc>
          <w:tcPr>
            <w:tcW w:type="dxa" w:w="800"/>
            <w:tcMar>
              <w:top w:type="dxa" w:w="90"/>
              <w:left w:type="dxa" w:w="120"/>
              <w:bottom w:type="dxa" w:w="90"/>
              <w:right w:type="dxa" w:w="120"/>
            </w:tcMar>
          </w:tcPr>
          <w:p>
            <w:pPr>
              <w:spacing w:after="0" w:line="260"/>
              <w:jc w:val="right"/>
            </w:pPr>
            <w:r>
              <w:rPr>
                <w:b w:val="false"/>
                <w:bCs w:val="false"/>
                <w:color w:val="1A1A1A"/>
                <w:sz w:val="19"/>
                <w:szCs w:val="19"/>
              </w:rPr>
              <w:t xml:space="preserve">1</w:t>
            </w:r>
          </w:p>
        </w:tc>
        <w:tc>
          <w:tcPr>
            <w:tcW w:type="dxa" w:w="1200"/>
            <w:tcMar>
              <w:top w:type="dxa" w:w="90"/>
              <w:left w:type="dxa" w:w="120"/>
              <w:bottom w:type="dxa" w:w="90"/>
              <w:right w:type="dxa" w:w="120"/>
            </w:tcMar>
          </w:tcPr>
          <w:p>
            <w:pPr>
              <w:spacing w:after="0" w:line="260"/>
              <w:jc w:val="right"/>
            </w:pPr>
            <w:r>
              <w:rPr>
                <w:b w:val="false"/>
                <w:bCs w:val="false"/>
                <w:color w:val="1A1A1A"/>
                <w:sz w:val="19"/>
                <w:szCs w:val="19"/>
              </w:rPr>
              <w:t xml:space="preserve">16.7%</w:t>
            </w:r>
          </w:p>
        </w:tc>
        <w:tc>
          <w:tcPr>
            <w:tcW w:type="dxa" w:w="2060"/>
            <w:tcMar>
              <w:top w:type="dxa" w:w="90"/>
              <w:left w:type="dxa" w:w="120"/>
              <w:bottom w:type="dxa" w:w="90"/>
              <w:right w:type="dxa" w:w="120"/>
            </w:tcMar>
          </w:tcPr>
          <w:p>
            <w:pPr>
              <w:spacing w:after="0" w:line="260"/>
              <w:jc w:val="center"/>
            </w:pPr>
            <w:r>
              <w:rPr>
                <w:b w:val="false"/>
                <w:bCs w:val="false"/>
                <w:color w:val="1A1A1A"/>
                <w:sz w:val="19"/>
                <w:szCs w:val="19"/>
              </w:rPr>
              <w:t xml:space="preserve">3.0% - 56.4%</w:t>
            </w:r>
          </w:p>
        </w:tc>
        <w:tc>
          <w:tcPr>
            <w:tcW w:type="dxa" w:w="1800"/>
            <w:tcMar>
              <w:top w:type="dxa" w:w="90"/>
              <w:left w:type="dxa" w:w="120"/>
              <w:bottom w:type="dxa" w:w="90"/>
              <w:right w:type="dxa" w:w="120"/>
            </w:tcMar>
          </w:tcPr>
          <w:p>
            <w:pPr>
              <w:spacing w:after="0" w:line="260"/>
              <w:jc w:val="right"/>
            </w:pPr>
            <w:r>
              <w:rPr>
                <w:b w:val="false"/>
                <w:bCs w:val="false"/>
                <w:color w:val="1A1A1A"/>
                <w:sz w:val="19"/>
                <w:szCs w:val="19"/>
              </w:rPr>
              <w:t xml:space="preserve">51.2%</w:t>
            </w:r>
          </w:p>
        </w:tc>
        <w:tc>
          <w:tcPr>
            <w:tcW w:type="dxa" w:w="1500"/>
            <w:tcMar>
              <w:top w:type="dxa" w:w="90"/>
              <w:left w:type="dxa" w:w="120"/>
              <w:bottom w:type="dxa" w:w="90"/>
              <w:right w:type="dxa" w:w="120"/>
            </w:tcMar>
          </w:tcPr>
          <w:p>
            <w:pPr>
              <w:spacing w:after="0" w:line="260"/>
              <w:jc w:val="right"/>
            </w:pPr>
            <w:r>
              <w:rPr>
                <w:b w:val="false"/>
                <w:bCs w:val="false"/>
                <w:color w:val="8A4B08"/>
                <w:sz w:val="19"/>
                <w:szCs w:val="19"/>
              </w:rPr>
              <w:t xml:space="preserve">-34.5 pts</w:t>
            </w:r>
          </w:p>
        </w:tc>
      </w:tr>
    </w:tbl>
    <w:p>
      <w:pPr>
        <w:spacing w:after="130" w:line="300"/>
      </w:pPr>
      <w:r>
        <w:rPr>
          <w:b w:val="false"/>
          <w:bCs w:val="false"/>
          <w:i w:val="false"/>
          <w:iCs w:val="false"/>
          <w:color w:val="5A5A5A"/>
          <w:sz w:val="18"/>
          <w:szCs w:val="18"/>
        </w:rPr>
        <w:t xml:space="preserve">Six cards per horizon. No horizon carries enough observations to separate 22.2% from the 53.2% null, and the report does not claim otherwise.</w:t>
      </w:r>
    </w:p>
    <w:p>
      <w:pPr>
        <w:pStyle w:val="Heading1"/>
        <w:spacing w:after="140" w:before="360"/>
      </w:pPr>
      <w:r>
        <w:rPr>
          <w:b/>
          <w:bCs/>
          <w:color w:val="1A1A1A"/>
          <w:sz w:val="30"/>
          <w:szCs w:val="30"/>
        </w:rPr>
        <w:t xml:space="preserve">Why the accuracy is what it is</w:t>
      </w:r>
    </w:p>
    <w:p>
      <w:pPr>
        <w:spacing w:after="130" w:line="300"/>
      </w:pPr>
      <w:r>
        <w:rPr>
          <w:b w:val="false"/>
          <w:bCs w:val="false"/>
          <w:i w:val="false"/>
          <w:iCs w:val="false"/>
          <w:color w:val="1A1A1A"/>
          <w:sz w:val="21"/>
          <w:szCs w:val="21"/>
        </w:rPr>
        <w:t xml:space="preserve">Four reasons, in order of how much they account for. None of them is "the model is badly fitted".</w:t>
      </w:r>
    </w:p>
    <w:p>
      <w:pPr>
        <w:pStyle w:val="Heading2"/>
        <w:spacing w:after="110" w:before="280"/>
      </w:pPr>
      <w:r>
        <w:rPr>
          <w:b/>
          <w:bCs/>
          <w:color w:val="1A1A1A"/>
          <w:sz w:val="25"/>
          <w:szCs w:val="25"/>
        </w:rPr>
        <w:t xml:space="preserve">1. The engine is refusing to act, correctly</w:t>
      </w:r>
    </w:p>
    <w:p>
      <w:pPr>
        <w:spacing w:after="130" w:line="300"/>
      </w:pPr>
      <w:r>
        <w:rPr>
          <w:b w:val="false"/>
          <w:bCs w:val="false"/>
          <w:i w:val="false"/>
          <w:iCs w:val="false"/>
          <w:color w:val="1A1A1A"/>
          <w:sz w:val="21"/>
          <w:szCs w:val="21"/>
        </w:rPr>
        <w:t xml:space="preserve">Across the whole run the engine declined 120,747 candidate cards and issued 18. The refusal reasons are the engine's real predicates, not a summary:</w:t>
      </w:r>
    </w:p>
    <w:tbl>
      <w:tblPr>
        <w:tblW w:type="dxa" w:w="9360"/>
        <w:tblBorders>
          <w:top w:val="single" w:color="C8C8C8" w:sz="4"/>
          <w:left w:val="none"/>
          <w:bottom w:val="single" w:color="C8C8C8" w:sz="4"/>
          <w:right w:val="none"/>
          <w:insideH w:val="single" w:color="E4E0D8" w:sz="2"/>
          <w:insideV w:val="none"/>
        </w:tblBorders>
      </w:tblPr>
      <w:tblGrid>
        <w:gridCol w:w="2600"/>
        <w:gridCol w:w="1300"/>
        <w:gridCol w:w="5460"/>
      </w:tblGrid>
      <w:tr>
        <w:trPr>
          <w:tblHeader/>
        </w:trPr>
        <w:tc>
          <w:tcPr>
            <w:tcW w:type="dxa" w:w="2600"/>
            <w:shd w:fill="EFEAE0" w:color="auto" w:val="clear"/>
            <w:tcMar>
              <w:top w:type="dxa" w:w="90"/>
              <w:left w:type="dxa" w:w="120"/>
              <w:bottom w:type="dxa" w:w="90"/>
              <w:right w:type="dxa" w:w="120"/>
            </w:tcMar>
          </w:tcPr>
          <w:p>
            <w:pPr>
              <w:spacing w:after="0" w:line="260"/>
              <w:jc w:val="left"/>
            </w:pPr>
            <w:r>
              <w:rPr>
                <w:b/>
                <w:bCs/>
                <w:color w:val="1A1A1A"/>
                <w:sz w:val="19"/>
                <w:szCs w:val="19"/>
              </w:rPr>
              <w:t xml:space="preserve">Refusal reason</w:t>
            </w:r>
          </w:p>
        </w:tc>
        <w:tc>
          <w:tcPr>
            <w:tcW w:type="dxa" w:w="13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Candidates</w:t>
            </w:r>
          </w:p>
        </w:tc>
        <w:tc>
          <w:tcPr>
            <w:tcW w:type="dxa" w:w="546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What it means</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below materiality floor</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108,147</w:t>
            </w:r>
          </w:p>
        </w:tc>
        <w:tc>
          <w:tcPr>
            <w:tcW w:type="dxa" w:w="5460"/>
            <w:tcMar>
              <w:top w:type="dxa" w:w="90"/>
              <w:left w:type="dxa" w:w="120"/>
              <w:bottom w:type="dxa" w:w="90"/>
              <w:right w:type="dxa" w:w="120"/>
            </w:tcMar>
          </w:tcPr>
          <w:p>
            <w:pPr>
              <w:spacing w:after="0" w:line="260"/>
              <w:jc w:val="left"/>
            </w:pPr>
            <w:r>
              <w:rPr>
                <w:b w:val="false"/>
                <w:bCs w:val="false"/>
                <w:color w:val="1A1A1A"/>
                <w:sz w:val="19"/>
                <w:szCs w:val="19"/>
              </w:rPr>
              <w:t xml:space="preserve">The SKU moves too few units to be worth a card. The floor is 8 units.</w:t>
            </w:r>
          </w:p>
        </w:tc>
      </w:tr>
      <w:tr>
        <w:tc>
          <w:tcPr>
            <w:tcW w:type="dxa" w:w="26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trailing window inflated</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8,082</w:t>
            </w:r>
          </w:p>
        </w:tc>
        <w:tc>
          <w:tcPr>
            <w:tcW w:type="dxa" w:w="54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The trailing window is running above the long run, so a dip-and-revert pick would be measuring its own noise.</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p hit below floor</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3,600</w:t>
            </w:r>
          </w:p>
        </w:tc>
        <w:tc>
          <w:tcPr>
            <w:tcW w:type="dxa" w:w="5460"/>
            <w:tcMar>
              <w:top w:type="dxa" w:w="90"/>
              <w:left w:type="dxa" w:w="120"/>
              <w:bottom w:type="dxa" w:w="90"/>
              <w:right w:type="dxa" w:w="120"/>
            </w:tcMar>
          </w:tcPr>
          <w:p>
            <w:pPr>
              <w:spacing w:after="0" w:line="260"/>
              <w:jc w:val="left"/>
            </w:pPr>
            <w:r>
              <w:rPr>
                <w:b w:val="false"/>
                <w:bCs w:val="false"/>
                <w:color w:val="1A1A1A"/>
                <w:sz w:val="19"/>
                <w:szCs w:val="19"/>
              </w:rPr>
              <w:t xml:space="preserve">Modelled probability of a hit below the 0.5 floor.</w:t>
            </w:r>
          </w:p>
        </w:tc>
      </w:tr>
      <w:tr>
        <w:tc>
          <w:tcPr>
            <w:tcW w:type="dxa" w:w="26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not merchandise category</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774</w:t>
            </w:r>
          </w:p>
        </w:tc>
        <w:tc>
          <w:tcPr>
            <w:tcW w:type="dxa" w:w="54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Not a merchandise SKU (register mechanics, blocked category, or absent from the catalogue).</w:t>
            </w:r>
          </w:p>
        </w:tc>
      </w:tr>
      <w:tr>
        <w:tc>
          <w:tcPr>
            <w:tcW w:type="dxa" w:w="2600"/>
            <w:tcMar>
              <w:top w:type="dxa" w:w="90"/>
              <w:left w:type="dxa" w:w="120"/>
              <w:bottom w:type="dxa" w:w="90"/>
              <w:right w:type="dxa" w:w="120"/>
            </w:tcMar>
          </w:tcPr>
          <w:p>
            <w:pPr>
              <w:spacing w:after="0" w:line="260"/>
              <w:jc w:val="left"/>
            </w:pPr>
            <w:r>
              <w:rPr>
                <w:b w:val="false"/>
                <w:bCs w:val="false"/>
                <w:color w:val="1A1A1A"/>
                <w:sz w:val="19"/>
                <w:szCs w:val="19"/>
              </w:rPr>
              <w:t xml:space="preserve">not merchandise blocklist</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72</w:t>
            </w:r>
          </w:p>
        </w:tc>
        <w:tc>
          <w:tcPr>
            <w:tcW w:type="dxa" w:w="5460"/>
            <w:tcMar>
              <w:top w:type="dxa" w:w="90"/>
              <w:left w:type="dxa" w:w="120"/>
              <w:bottom w:type="dxa" w:w="90"/>
              <w:right w:type="dxa" w:w="120"/>
            </w:tcMar>
          </w:tcPr>
          <w:p>
            <w:pPr>
              <w:spacing w:after="0" w:line="260"/>
              <w:jc w:val="left"/>
            </w:pPr>
            <w:r>
              <w:rPr>
                <w:b w:val="false"/>
                <w:bCs w:val="false"/>
                <w:color w:val="1A1A1A"/>
                <w:sz w:val="19"/>
                <w:szCs w:val="19"/>
              </w:rPr>
              <w:t xml:space="preserve">Not a merchandise SKU (register mechanics, blocked category, or absent from the catalogue).</w:t>
            </w:r>
          </w:p>
        </w:tc>
      </w:tr>
      <w:tr>
        <w:tc>
          <w:tcPr>
            <w:tcW w:type="dxa" w:w="26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not merchandise catalogue</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72</w:t>
            </w:r>
          </w:p>
        </w:tc>
        <w:tc>
          <w:tcPr>
            <w:tcW w:type="dxa" w:w="54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Not a merchandise SKU (register mechanics, blocked category, or absent from the catalogue).</w:t>
            </w:r>
          </w:p>
        </w:tc>
      </w:tr>
    </w:tbl>
    <w:p>
      <w:pPr>
        <w:spacing w:after="130" w:line="300"/>
      </w:pPr>
      <w:r>
        <w:rPr>
          <w:b w:val="false"/>
          <w:bCs w:val="false"/>
          <w:i w:val="false"/>
          <w:iCs w:val="false"/>
          <w:color w:val="1A1A1A"/>
          <w:sz w:val="21"/>
          <w:szCs w:val="21"/>
        </w:rPr>
        <w:t xml:space="preserve">With 163 of this store's 4,132 sold SKUs having been sold on 30 or more separate days, almost nothing clears a materiality floor AND has enough observations to model. That is the binding constraint, and it is a data constraint.</w:t>
      </w:r>
    </w:p>
    <w:p>
      <w:pPr>
        <w:pStyle w:val="Heading2"/>
        <w:spacing w:after="110" w:before="280"/>
      </w:pPr>
      <w:r>
        <w:rPr>
          <w:b/>
          <w:bCs/>
          <w:color w:val="1A1A1A"/>
          <w:sz w:val="25"/>
          <w:szCs w:val="25"/>
        </w:rPr>
        <w:t xml:space="preserve">2. The sample is far too small to be a verdict</w:t>
      </w:r>
    </w:p>
    <w:p>
      <w:pPr>
        <w:spacing w:after="130" w:line="300"/>
      </w:pPr>
      <w:r>
        <w:rPr>
          <w:b w:val="false"/>
          <w:bCs w:val="false"/>
          <w:i w:val="false"/>
          <w:iCs w:val="false"/>
          <w:color w:val="1A1A1A"/>
          <w:sz w:val="21"/>
          <w:szCs w:val="21"/>
        </w:rPr>
        <w:t xml:space="preserve">18 cards. The Wilson interval runs 9.0% to 45.2% and the date-clustered interval runs 0.0% to 44.4%. A true hit rate of 50% would produce 4 hits out of 18 often enough that this result does not rule it out. The run's own output says the per-run Fisher test is "near-powerless" at this card count, and that is the correct reading.</w:t>
      </w:r>
    </w:p>
    <w:p>
      <w:pPr>
        <w:pStyle w:val="Heading2"/>
        <w:spacing w:after="110" w:before="280"/>
      </w:pPr>
      <w:r>
        <w:rPr>
          <w:b/>
          <w:bCs/>
          <w:color w:val="1A1A1A"/>
          <w:sz w:val="25"/>
          <w:szCs w:val="25"/>
        </w:rPr>
        <w:t xml:space="preserve">3. The shortened window removes the signal the recommender runs on</w:t>
      </w:r>
    </w:p>
    <w:p>
      <w:pPr>
        <w:spacing w:after="130" w:line="300"/>
      </w:pPr>
      <w:r>
        <w:rPr>
          <w:b w:val="false"/>
          <w:bCs w:val="false"/>
          <w:i w:val="false"/>
          <w:iCs w:val="false"/>
          <w:color w:val="1A1A1A"/>
          <w:sz w:val="21"/>
          <w:szCs w:val="21"/>
        </w:rPr>
        <w:t xml:space="preserve">The selection rule looks for SKUs whose recent window is depressed against their own long run, and expects reversion. In production the long run is 365 days. Here it is 40 days against a 28-day recent window, so the two overlap heavily and "depressed against the long run" is close to "depressed against itself". The reversion signal is largely gone, which is visible in the result: the reversion-matched null scores 53.2% while the engine's picks score 22.2%.</w:t>
      </w:r>
    </w:p>
    <w:p>
      <w:pPr>
        <w:pStyle w:val="Heading2"/>
        <w:spacing w:after="110" w:before="280"/>
      </w:pPr>
      <w:r>
        <w:rPr>
          <w:b/>
          <w:bCs/>
          <w:color w:val="1A1A1A"/>
          <w:sz w:val="25"/>
          <w:szCs w:val="25"/>
        </w:rPr>
        <w:t xml:space="preserve">4. No seasonal or holiday evidence exists yet</w:t>
      </w:r>
    </w:p>
    <w:p>
      <w:pPr>
        <w:spacing w:after="130" w:line="300"/>
      </w:pPr>
      <w:r>
        <w:rPr>
          <w:b w:val="false"/>
          <w:bCs w:val="false"/>
          <w:i w:val="false"/>
          <w:iCs w:val="false"/>
          <w:color w:val="1A1A1A"/>
          <w:sz w:val="21"/>
          <w:szCs w:val="21"/>
        </w:rPr>
        <w:t xml:space="preserve">The data covers July to October. There is no Thanksgiving, no Christmas, no New Year, and no prior year to compare any of them against. The pre-holiday index is therefore 1.0 by absence rather than by measurement, and the engine cannot anticipate the largest demand events in a liquor retailer's year at this store. The first useful test of that will be the first holiday season with a year of history behind it.</w:t>
      </w:r>
    </w:p>
    <w:p>
      <w:pPr>
        <w:pStyle w:val="Heading1"/>
        <w:spacing w:after="140" w:before="360"/>
      </w:pPr>
      <w:r>
        <w:rPr>
          <w:b/>
          <w:bCs/>
          <w:color w:val="1A1A1A"/>
          <w:sz w:val="30"/>
          <w:szCs w:val="30"/>
        </w:rPr>
        <w:t xml:space="preserve">What would change the answer</w:t>
      </w:r>
    </w:p>
    <w:p>
      <w:pPr>
        <w:pStyle w:val="ListParagraph"/>
        <w:numPr>
          <w:ilvl w:val="0"/>
          <w:numId w:val="2"/>
        </w:numPr>
        <w:spacing w:after="90" w:line="300"/>
      </w:pPr>
      <w:r>
        <w:rPr>
          <w:b w:val="false"/>
          <w:bCs w:val="false"/>
          <w:color w:val="1A1A1A"/>
          <w:sz w:val="21"/>
          <w:szCs w:val="21"/>
        </w:rPr>
        <w:t xml:space="preserve">History. The production measurement becomes possible once the store has 492 days of span, which is 392 days from the current end date, so around 2027-11-09 at the present collection rate. A meaningful interim read is possible once a full year of history exists.</w:t>
      </w:r>
    </w:p>
    <w:p>
      <w:pPr>
        <w:pStyle w:val="ListParagraph"/>
        <w:numPr>
          <w:ilvl w:val="0"/>
          <w:numId w:val="2"/>
        </w:numPr>
        <w:spacing w:after="90" w:line="300"/>
      </w:pPr>
      <w:r>
        <w:rPr>
          <w:b w:val="false"/>
          <w:bCs w:val="false"/>
          <w:color w:val="1A1A1A"/>
          <w:sz w:val="21"/>
          <w:szCs w:val="21"/>
        </w:rPr>
        <w:t xml:space="preserve">A fixed receiving feed. Every purchase row at this store has an unusable date (see the data audit report), so no supplier lead time or delivery cadence can be computed. The order-policy module is therefore working without the one input that tells it when the next delivery lands.</w:t>
      </w:r>
    </w:p>
    <w:p>
      <w:pPr>
        <w:pStyle w:val="ListParagraph"/>
        <w:numPr>
          <w:ilvl w:val="0"/>
          <w:numId w:val="2"/>
        </w:numPr>
        <w:spacing w:after="90" w:line="300"/>
      </w:pPr>
      <w:r>
        <w:rPr>
          <w:b w:val="false"/>
          <w:bCs w:val="false"/>
          <w:color w:val="1A1A1A"/>
          <w:sz w:val="21"/>
          <w:szCs w:val="21"/>
        </w:rPr>
        <w:t xml:space="preserve">More scorable SKUs. 1,052 of 4,132 sold SKUs were sold on exactly one day. Depth accumulates on its own with time, and nothing needs to be done beyond continuing to collect.</w:t>
      </w:r>
    </w:p>
    <w:p>
      <w:pPr>
        <w:pStyle w:val="ListParagraph"/>
        <w:numPr>
          <w:ilvl w:val="0"/>
          <w:numId w:val="2"/>
        </w:numPr>
        <w:spacing w:after="90" w:line="300"/>
      </w:pPr>
      <w:r>
        <w:rPr>
          <w:b w:val="false"/>
          <w:bCs w:val="false"/>
          <w:color w:val="1A1A1A"/>
          <w:sz w:val="21"/>
          <w:szCs w:val="21"/>
        </w:rPr>
        <w:t xml:space="preserve">A holiday season in the window, which is the first point at which the seasonal layer can be judged rather than assumed inert.</w:t>
      </w:r>
    </w:p>
    <w:p>
      <w:pPr>
        <w:pStyle w:val="Heading1"/>
        <w:spacing w:after="140" w:before="360"/>
      </w:pPr>
      <w:r>
        <w:rPr>
          <w:b/>
          <w:bCs/>
          <w:color w:val="1A1A1A"/>
          <w:sz w:val="30"/>
          <w:szCs w:val="30"/>
        </w:rPr>
        <w:t xml:space="preserve">Method and reproducibility</w:t>
      </w:r>
    </w:p>
    <w:p>
      <w:pPr>
        <w:spacing w:after="130" w:line="300"/>
      </w:pPr>
      <w:r>
        <w:rPr>
          <w:b w:val="false"/>
          <w:bCs w:val="false"/>
          <w:i w:val="false"/>
          <w:iCs w:val="false"/>
          <w:color w:val="1A1A1A"/>
          <w:sz w:val="21"/>
          <w:szCs w:val="21"/>
        </w:rPr>
        <w:t xml:space="preserve">Every figure above comes from one of three runs over a single CSV export. No database is touched by the measurement, which is what makes it replayable later.</w:t>
      </w:r>
    </w:p>
    <w:tbl>
      <w:tblPr>
        <w:tblW w:type="dxa" w:w="9360"/>
        <w:tblBorders>
          <w:top w:val="single" w:color="C8C8C8" w:sz="4"/>
          <w:left w:val="none"/>
          <w:bottom w:val="single" w:color="C8C8C8" w:sz="4"/>
          <w:right w:val="none"/>
          <w:insideH w:val="single" w:color="E4E0D8" w:sz="2"/>
          <w:insideV w:val="none"/>
        </w:tblBorders>
      </w:tblPr>
      <w:tblGrid>
        <w:gridCol w:w="1700"/>
        <w:gridCol w:w="7660"/>
      </w:tblGrid>
      <w:tr>
        <w:trPr>
          <w:tblHeader/>
        </w:trPr>
        <w:tc>
          <w:tcPr>
            <w:tcW w:type="dxa" w:w="1700"/>
            <w:shd w:fill="EFEAE0" w:color="auto" w:val="clear"/>
            <w:tcMar>
              <w:top w:type="dxa" w:w="90"/>
              <w:left w:type="dxa" w:w="120"/>
              <w:bottom w:type="dxa" w:w="90"/>
              <w:right w:type="dxa" w:w="120"/>
            </w:tcMar>
          </w:tcPr>
          <w:p>
            <w:pPr>
              <w:spacing w:after="0" w:line="260"/>
              <w:jc w:val="left"/>
            </w:pPr>
            <w:r>
              <w:rPr>
                <w:b/>
                <w:bCs/>
                <w:color w:val="1A1A1A"/>
                <w:sz w:val="19"/>
                <w:szCs w:val="19"/>
              </w:rPr>
              <w:t xml:space="preserve">Step</w:t>
            </w:r>
          </w:p>
        </w:tc>
        <w:tc>
          <w:tcPr>
            <w:tcW w:type="dxa" w:w="7660"/>
            <w:shd w:fill="EFEAE0" w:color="auto" w:val="clear"/>
            <w:tcMar>
              <w:top w:type="dxa" w:w="90"/>
              <w:left w:type="dxa" w:w="120"/>
              <w:bottom w:type="dxa" w:w="90"/>
              <w:right w:type="dxa" w:w="120"/>
            </w:tcMar>
          </w:tcPr>
          <w:p>
            <w:pPr>
              <w:spacing w:after="0" w:line="260"/>
              <w:jc w:val="left"/>
            </w:pPr>
            <w:r>
              <w:rPr>
                <w:b/>
                <w:bCs/>
                <w:color w:val="1A1A1A"/>
                <w:sz w:val="19"/>
                <w:szCs w:val="19"/>
              </w:rPr>
              <w:t xml:space="preserve">Command</w:t>
            </w:r>
          </w:p>
        </w:tc>
      </w:tr>
      <w:tr>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Export</w:t>
            </w:r>
          </w:p>
        </w:tc>
        <w:tc>
          <w:tcPr>
            <w:tcW w:type="dxa" w:w="7660"/>
            <w:tcMar>
              <w:top w:type="dxa" w:w="90"/>
              <w:left w:type="dxa" w:w="120"/>
              <w:bottom w:type="dxa" w:w="90"/>
              <w:right w:type="dxa" w:w="120"/>
            </w:tcMar>
          </w:tcPr>
          <w:p>
            <w:pPr>
              <w:spacing w:after="0" w:line="260"/>
              <w:jc w:val="left"/>
            </w:pPr>
            <w:r>
              <w:rPr>
                <w:b w:val="false"/>
                <w:bCs w:val="false"/>
                <w:color w:val="1A1A1A"/>
                <w:sz w:val="19"/>
                <w:szCs w:val="19"/>
              </w:rPr>
              <w:t xml:space="preserve">node backend/scripts/export-store-sales.js --locations 173 --out ../audit/tuscany/data</w:t>
            </w:r>
          </w:p>
        </w:tc>
      </w:tr>
      <w:tr>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Forecast accuracy</w:t>
            </w:r>
          </w:p>
        </w:tc>
        <w:tc>
          <w:tcPr>
            <w:tcW w:type="dxa" w:w="76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python scripts/short_window_backtest.py --data ../audit/tuscany/data --file store_173_sale_items.csv.gz --store "Tuscany Liquors" --long-run 40 --horizons 10,20,30 --every 2 --out ../audit/tuscany/backtest_short_1020300.json</w:t>
            </w:r>
          </w:p>
        </w:tc>
      </w:tr>
      <w:tr>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Decision hit rate</w:t>
            </w:r>
          </w:p>
        </w:tc>
        <w:tc>
          <w:tcPr>
            <w:tcW w:type="dxa" w:w="7660"/>
            <w:tcMar>
              <w:top w:type="dxa" w:w="90"/>
              <w:left w:type="dxa" w:w="120"/>
              <w:bottom w:type="dxa" w:w="90"/>
              <w:right w:type="dxa" w:w="120"/>
            </w:tcMar>
          </w:tcPr>
          <w:p>
            <w:pPr>
              <w:spacing w:after="0" w:line="260"/>
              <w:jc w:val="left"/>
            </w:pPr>
            <w:r>
              <w:rPr>
                <w:b w:val="false"/>
                <w:bCs w:val="false"/>
                <w:color w:val="1A1A1A"/>
                <w:sz w:val="19"/>
                <w:szCs w:val="19"/>
              </w:rPr>
              <w:t xml:space="preserve">python scripts/short_window_decisions.py --data ../audit/tuscany/data --file store_173_sale_items.csv.gz --store "Tuscany Liquors" --history 40 --horizons 10,20,30 --every 2 --out ../audit/tuscany/decisions</w:t>
            </w:r>
          </w:p>
        </w:tc>
      </w:tr>
      <w:tr>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Data audit</w:t>
            </w:r>
          </w:p>
        </w:tc>
        <w:tc>
          <w:tcPr>
            <w:tcW w:type="dxa" w:w="76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python scripts/audit_store_data.py --store 173 --out ../audit/tuscany/data_audit_173.json</w:t>
            </w:r>
          </w:p>
        </w:tc>
      </w:tr>
    </w:tbl>
    <w:p>
      <w:pPr>
        <w:spacing w:after="130" w:line="300"/>
      </w:pPr>
      <w:r>
        <w:rPr>
          <w:b w:val="false"/>
          <w:bCs w:val="false"/>
          <w:i w:val="false"/>
          <w:iCs w:val="false"/>
          <w:color w:val="5A5A5A"/>
          <w:sz w:val="18"/>
          <w:szCs w:val="18"/>
        </w:rPr>
        <w:t xml:space="preserve">Export: 37,035 lines, 4,132 products, cost present on 99.8% of sold lines, no lines refused by the data contract. Engine settings in force: materiality floor 8 units, minimum hit probability 0.5, baseline window 28 days, 10 cards requested per run, 400 null baskets per comparison.</w:t>
      </w:r>
    </w:p>
    <w:p>
      <w:pPr>
        <w:pStyle w:val="Heading1"/>
        <w:spacing w:after="140" w:before="360"/>
      </w:pPr>
      <w:r>
        <w:rPr>
          <w:b/>
          <w:bCs/>
          <w:color w:val="1A1A1A"/>
          <w:sz w:val="30"/>
          <w:szCs w:val="30"/>
        </w:rPr>
        <w:t xml:space="preserve">Limitations</w:t>
      </w:r>
    </w:p>
    <w:p>
      <w:pPr>
        <w:pStyle w:val="ListParagraph"/>
        <w:numPr>
          <w:ilvl w:val="0"/>
          <w:numId w:val="2"/>
        </w:numPr>
        <w:spacing w:after="90" w:line="300"/>
      </w:pPr>
      <w:r>
        <w:rPr>
          <w:b w:val="false"/>
          <w:bCs w:val="false"/>
          <w:color w:val="1A1A1A"/>
          <w:sz w:val="21"/>
          <w:szCs w:val="21"/>
        </w:rPr>
        <w:t xml:space="preserve">No figure in this report is a production accuracy estimate, and none may be quoted beside a figure from a store with a full history.</w:t>
      </w:r>
    </w:p>
    <w:p>
      <w:pPr>
        <w:pStyle w:val="ListParagraph"/>
        <w:numPr>
          <w:ilvl w:val="0"/>
          <w:numId w:val="2"/>
        </w:numPr>
        <w:spacing w:after="90" w:line="300"/>
      </w:pPr>
      <w:r>
        <w:rPr>
          <w:b w:val="false"/>
          <w:bCs w:val="false"/>
          <w:color w:val="1A1A1A"/>
          <w:sz w:val="21"/>
          <w:szCs w:val="21"/>
        </w:rPr>
        <w:t xml:space="preserve">The reduced windows (long run 40 days, horizons 10/20/30) were chosen to fit 100 days of data. They are stated in the output of every run.</w:t>
      </w:r>
    </w:p>
    <w:p>
      <w:pPr>
        <w:pStyle w:val="ListParagraph"/>
        <w:numPr>
          <w:ilvl w:val="0"/>
          <w:numId w:val="2"/>
        </w:numPr>
        <w:spacing w:after="90" w:line="300"/>
      </w:pPr>
      <w:r>
        <w:rPr>
          <w:b w:val="false"/>
          <w:bCs w:val="false"/>
          <w:color w:val="1A1A1A"/>
          <w:sz w:val="21"/>
          <w:szCs w:val="21"/>
        </w:rPr>
        <w:t xml:space="preserve">Decision dates two days apart share most of their trailing data, so 12 dates carry considerably less information than 12 independent observations, even after date clustering.</w:t>
      </w:r>
    </w:p>
    <w:p>
      <w:pPr>
        <w:pStyle w:val="ListParagraph"/>
        <w:numPr>
          <w:ilvl w:val="0"/>
          <w:numId w:val="2"/>
        </w:numPr>
        <w:spacing w:after="90" w:line="300"/>
      </w:pPr>
      <w:r>
        <w:rPr>
          <w:b w:val="false"/>
          <w:bCs w:val="false"/>
          <w:color w:val="1A1A1A"/>
          <w:sz w:val="21"/>
          <w:szCs w:val="21"/>
        </w:rPr>
        <w:t xml:space="preserve">The prediction interval was calibrated on only 3 early dates. That is thin, and it is the most likely explanation for the over-wide 10-day interval.</w:t>
      </w:r>
    </w:p>
    <w:p>
      <w:pPr>
        <w:pStyle w:val="ListParagraph"/>
        <w:numPr>
          <w:ilvl w:val="0"/>
          <w:numId w:val="2"/>
        </w:numPr>
        <w:spacing w:after="90" w:line="300"/>
      </w:pPr>
      <w:r>
        <w:rPr>
          <w:b w:val="false"/>
          <w:bCs w:val="false"/>
          <w:color w:val="1A1A1A"/>
          <w:sz w:val="21"/>
          <w:szCs w:val="21"/>
        </w:rPr>
        <w:t xml:space="preserve">An earlier version of this analysis used horizons of 7, 14 and 28 days. All three are exact multiples of seven, so each weekday appeared exactly once in every window and the day-of-week multiplier averaged to 1.000 by construction, making the seasonal layer look inert when it had simply been given nothing to vary over. The horizons were changed to 10, 20 and 30 for that reason, and the seasonal figures above come from the corrected run.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Tuscany Liquors - Engine Backtest</dc:title>
  <dc:creator>Botella AI</dc:creator>
  <dc:description>Reduced-window backtest of the Botella engine at store 173.</dc:description>
  <cp:lastModifiedBy>Un-named</cp:lastModifiedBy>
  <cp:revision>1</cp:revision>
  <dcterms:created xsi:type="dcterms:W3CDTF">2026-10-15T12:16:33.396Z</dcterms:created>
  <dcterms:modified xsi:type="dcterms:W3CDTF">2026-10-15T12:16:33.396Z</dcterms:modified>
</cp:coreProperties>
</file>

<file path=docProps/custom.xml><?xml version="1.0" encoding="utf-8"?>
<Properties xmlns="http://schemas.openxmlformats.org/officeDocument/2006/custom-properties" xmlns:vt="http://schemas.openxmlformats.org/officeDocument/2006/docPropsVTypes"/>
</file>