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Feedback Pilot Proposal</w:t>
      </w:r>
    </w:p>
    <w:p>
      <w:r>
        <w:rPr>
          <w:i w:val="0"/>
          <w:color w:val="595959"/>
        </w:rPr>
        <w:t>Proposal · Prepared 22 October 2026</w:t>
      </w:r>
    </w:p>
    <w:p>
      <w:r>
        <w:rPr>
          <w:i w:val="0"/>
          <w:color w:val="595959"/>
        </w:rPr>
        <w:t>Items marked Proposed, Recommended, Potential or Illustrative are suggestions or possibilities, not agreed decisions or confirmed facts.</w:t>
      </w:r>
    </w:p>
    <w:p>
      <w:pPr>
        <w:pStyle w:val="Heading1"/>
      </w:pPr>
      <w:r>
        <w:t>Assumptions</w:t>
      </w:r>
    </w:p>
    <w:p>
      <w:r>
        <w:t>The following assumptions define the boundaries and constraints for the customer feedback pilot and are necessary to shape a realistic and executable plan.</w:t>
      </w:r>
    </w:p>
    <w:p>
      <w:pPr>
        <w:pStyle w:val="ListBullet"/>
      </w:pPr>
      <w:r>
        <w:rPr>
          <w:b/>
          <w:color w:val="0F766E"/>
        </w:rPr>
        <w:t xml:space="preserve">Proposed / Assumption A1: </w:t>
      </w:r>
      <w:r>
        <w:t>Audience: internal stakeholders (project sponsor, product manager, and development lead)</w:t>
      </w:r>
    </w:p>
    <w:p>
      <w:pPr>
        <w:pStyle w:val="ListBullet"/>
      </w:pPr>
      <w:r>
        <w:rPr>
          <w:b/>
          <w:color w:val="0F766E"/>
        </w:rPr>
        <w:t xml:space="preserve">Proposed / Assumption A2: </w:t>
      </w:r>
      <w:r>
        <w:t>Scope: pilot limited to a single product feature and a small sample of 20 customers</w:t>
      </w:r>
    </w:p>
    <w:p>
      <w:pPr>
        <w:pStyle w:val="Heading1"/>
      </w:pPr>
      <w:r>
        <w:t>Proposed Approach and Action Plan</w:t>
      </w:r>
    </w:p>
    <w:p>
      <w:r>
        <w:t>The pilot will gather actionable customer feedback within five working days by focusing on a single product feature and a small, defined customer sample. Leveraging existing internal resources and tools, the approach emphasizes rapid outreach, concise surveys, and quick synthesis of insights without requiring additional budget.</w:t>
      </w:r>
    </w:p>
    <w:p>
      <w:r>
        <w:t>A structured five‑day action plan assigns clear responsibilities to internal stakeholders, ensuring each day has defined deliverables that collectively meet the five‑day feedback timeline.</w:t>
      </w:r>
    </w:p>
    <w:p>
      <w:pPr>
        <w:pStyle w:val="ListBullet"/>
      </w:pPr>
      <w:r>
        <w:rPr>
          <w:b/>
          <w:color w:val="0F766E"/>
        </w:rPr>
        <w:t xml:space="preserve">Proposed / Assumption A2: </w:t>
      </w:r>
      <w:r>
        <w:t>Adopt a focused approach: target a single product feature and a sample of 20 customers, using existing communication channels and free survey tools.</w:t>
      </w:r>
    </w:p>
    <w:p>
      <w:pPr>
        <w:pStyle w:val="ListBullet"/>
      </w:pPr>
      <w:r>
        <w:rPr>
          <w:b/>
          <w:color w:val="0F766E"/>
        </w:rPr>
        <w:t xml:space="preserve">Proposed / Assumption A1: </w:t>
      </w:r>
      <w:r>
        <w:t>Day 1 – Define survey questions and select an existing free feedback tool.</w:t>
      </w:r>
      <w:r>
        <w:rPr>
          <w:color w:val="595959"/>
        </w:rPr>
        <w:t xml:space="preserve"> — Owner: To be confirmed; Due: Day 1</w:t>
      </w:r>
    </w:p>
    <w:p>
      <w:pPr>
        <w:pStyle w:val="ListBullet"/>
      </w:pPr>
      <w:r>
        <w:rPr>
          <w:b/>
          <w:color w:val="0F766E"/>
        </w:rPr>
        <w:t xml:space="preserve">Proposed / Assumption A1: </w:t>
      </w:r>
      <w:r>
        <w:t>Day 2 – Identify and recruit the 20‑customer sample; send invitation emails.</w:t>
      </w:r>
      <w:r>
        <w:rPr>
          <w:color w:val="595959"/>
        </w:rPr>
        <w:t xml:space="preserve"> — Owner: To be confirmed; Due: Day 2</w:t>
      </w:r>
    </w:p>
    <w:p>
      <w:pPr>
        <w:pStyle w:val="ListBullet"/>
      </w:pPr>
      <w:r>
        <w:rPr>
          <w:b/>
          <w:color w:val="0F766E"/>
        </w:rPr>
        <w:t xml:space="preserve">Proposed / Assumption A1: </w:t>
      </w:r>
      <w:r>
        <w:t>Day 3 – Collect responses; send reminder to non‑respondents.</w:t>
      </w:r>
      <w:r>
        <w:rPr>
          <w:color w:val="595959"/>
        </w:rPr>
        <w:t xml:space="preserve"> — Owner: To be confirmed; Due: Day 3</w:t>
      </w:r>
    </w:p>
    <w:p>
      <w:pPr>
        <w:pStyle w:val="ListBullet"/>
      </w:pPr>
      <w:r>
        <w:rPr>
          <w:b/>
          <w:color w:val="0F766E"/>
        </w:rPr>
        <w:t xml:space="preserve">Proposed / Assumption A1: </w:t>
      </w:r>
      <w:r>
        <w:t>Day 4 – Analyze feedback; extract key themes and actionable insights.</w:t>
      </w:r>
      <w:r>
        <w:rPr>
          <w:color w:val="595959"/>
        </w:rPr>
        <w:t xml:space="preserve"> — Owner: To be confirmed; Due: Day 4</w:t>
      </w:r>
    </w:p>
    <w:p>
      <w:pPr>
        <w:pStyle w:val="ListBullet"/>
      </w:pPr>
      <w:r>
        <w:rPr>
          <w:b/>
          <w:color w:val="0F766E"/>
        </w:rPr>
        <w:t xml:space="preserve">Proposed / Assumption A1: </w:t>
      </w:r>
      <w:r>
        <w:t>Day 5 – Prepare and deliver a concise feedback report to internal stakeholders.</w:t>
      </w:r>
      <w:r>
        <w:rPr>
          <w:color w:val="595959"/>
        </w:rPr>
        <w:t xml:space="preserve"> — Owner: To be confirmed; Due: Day 5</w:t>
      </w:r>
    </w:p>
    <w:p>
      <w:pPr>
        <w:pStyle w:val="Heading1"/>
      </w:pPr>
      <w:r>
        <w:t>Risks and Mitigations</w:t>
      </w:r>
    </w:p>
    <w:p>
      <w:r>
        <w:t>The pilot’s tight schedule and reliance on existing resources introduce two primary risks that could affect the delivery of actionable feedback within five working days. Addressing these risks proactively ensures the pilot remains on track without requiring additional budget.</w:t>
      </w:r>
    </w:p>
    <w:p>
      <w:pPr>
        <w:pStyle w:val="ListBullet"/>
      </w:pPr>
      <w:r>
        <w:rPr>
          <w:b/>
          <w:color w:val="0F766E"/>
        </w:rPr>
        <w:t xml:space="preserve">Proposed: </w:t>
      </w:r>
      <w:r>
        <w:t>Risk: Insufficient response rate from the 20‑customer sample may delay data collection.</w:t>
      </w:r>
    </w:p>
    <w:p>
      <w:pPr>
        <w:pStyle w:val="ListBullet"/>
      </w:pPr>
      <w:r>
        <w:rPr>
          <w:b/>
          <w:color w:val="0F766E"/>
        </w:rPr>
        <w:t xml:space="preserve">Proposed: </w:t>
      </w:r>
      <w:r>
        <w:t>Mitigation: Send a reminder on Day 3 and provide a brief incentive such as early access to upcoming features to encourage participation.</w:t>
      </w:r>
    </w:p>
    <w:p>
      <w:pPr>
        <w:pStyle w:val="ListBullet"/>
      </w:pPr>
      <w:r>
        <w:rPr>
          <w:b/>
          <w:color w:val="0F766E"/>
        </w:rPr>
        <w:t xml:space="preserve">Proposed: </w:t>
      </w:r>
      <w:r>
        <w:t>Risk: Limited functionality of free survey tools may restrict question complexity or data export capabilities.</w:t>
      </w:r>
    </w:p>
    <w:p>
      <w:pPr>
        <w:pStyle w:val="ListBullet"/>
      </w:pPr>
      <w:r>
        <w:rPr>
          <w:b/>
          <w:color w:val="0F766E"/>
        </w:rPr>
        <w:t xml:space="preserve">Proposed: </w:t>
      </w:r>
      <w:r>
        <w:t>Mitigation: Keep survey questions concise and use simple Likert‑scale or open‑ended formats that are supported by the chosen free tool; allocate Day 4 for manual data aggregation if needed.</w:t>
      </w:r>
    </w:p>
    <w:p>
      <w:pPr>
        <w:pStyle w:val="Heading1"/>
      </w:pPr>
      <w:r>
        <w:t>Assumptions</w:t>
      </w:r>
    </w:p>
    <w:p>
      <w:pPr>
        <w:pStyle w:val="ListBullet"/>
      </w:pPr>
      <w:r>
        <w:rPr>
          <w:b/>
        </w:rPr>
        <w:t xml:space="preserve">Assumption A1: </w:t>
      </w:r>
      <w:r>
        <w:t>Audience: internal stakeholders (project sponsor, product manager, and development lead)</w:t>
      </w:r>
      <w:r>
        <w:rPr>
          <w:color w:val="595959"/>
        </w:rPr>
        <w:t xml:space="preserve"> — The proposal is intended to secure internal approval and resources for the pilot</w:t>
      </w:r>
    </w:p>
    <w:p>
      <w:pPr>
        <w:pStyle w:val="ListBullet"/>
      </w:pPr>
      <w:r>
        <w:rPr>
          <w:b/>
        </w:rPr>
        <w:t xml:space="preserve">Assumption A2: </w:t>
      </w:r>
      <w:r>
        <w:t>Scope: pilot limited to a single product feature and a small sample of 20 customers</w:t>
      </w:r>
      <w:r>
        <w:rPr>
          <w:color w:val="595959"/>
        </w:rPr>
        <w:t xml:space="preserve"> — Keeps the pilot manageable within five working days and without extra budget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by the Autonomous Document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