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Feedback Pilot Proposal</w:t>
      </w:r>
    </w:p>
    <w:p>
      <w:r>
        <w:rPr>
          <w:i w:val="0"/>
          <w:color w:val="595959"/>
        </w:rPr>
        <w:t>Proposal · Prepared 23 October 2026</w:t>
      </w:r>
    </w:p>
    <w:p>
      <w:r>
        <w:rPr>
          <w:i w:val="0"/>
          <w:color w:val="595959"/>
        </w:rPr>
        <w:t>Items marked Proposed, Recommended, Potential or Illustrative are suggestions or possibilities, not agreed decisions or confirmed facts.</w:t>
      </w:r>
    </w:p>
    <w:p>
      <w:pPr>
        <w:pStyle w:val="Heading1"/>
      </w:pPr>
      <w:r>
        <w:t>Practical Approach</w:t>
      </w:r>
    </w:p>
    <w:p>
      <w:r>
        <w:t>The pilot will run a short, focused collection of customer feedback to validate interest and identify improvement areas. A cross‑functional team will design a brief survey, distribute it to a targeted customer segment, and analyze responses within five working days. The approach leverages an existing low‑cost survey platform to keep costs at zero while ensuring rapid turnaround.</w:t>
      </w:r>
    </w:p>
    <w:p>
      <w:pPr>
        <w:pStyle w:val="ListBullet"/>
      </w:pPr>
      <w:r>
        <w:t>Include a practical approach</w:t>
      </w:r>
    </w:p>
    <w:p>
      <w:pPr>
        <w:pStyle w:val="ListBullet"/>
      </w:pPr>
      <w:r>
        <w:rPr>
          <w:b/>
          <w:color w:val="0F766E"/>
        </w:rPr>
        <w:t xml:space="preserve">Proposed / Assumption A1: </w:t>
      </w:r>
      <w:r>
        <w:t>Cross‑functional team of 4‑6 members to execute the pilot</w:t>
      </w:r>
    </w:p>
    <w:p>
      <w:pPr>
        <w:pStyle w:val="ListBullet"/>
      </w:pPr>
      <w:r>
        <w:rPr>
          <w:b/>
          <w:color w:val="0F766E"/>
        </w:rPr>
        <w:t xml:space="preserve">Proposed / Assumption A2: </w:t>
      </w:r>
      <w:r>
        <w:t>Use an existing low‑cost survey platform (e.g., Google Forms) for feedback collection</w:t>
      </w:r>
    </w:p>
    <w:p>
      <w:pPr>
        <w:pStyle w:val="Heading1"/>
      </w:pPr>
      <w:r>
        <w:t>Five‑Day Action Plan with Suggested Roles</w:t>
      </w:r>
    </w:p>
    <w:p>
      <w:r>
        <w:t>The five‑day pilot is structured to deliver actionable customer feedback within the required timeframe while operating with no additional budget. Each day focuses on a specific activity, and functional roles are suggested based on typical cross‑functional capabilities.</w:t>
      </w:r>
    </w:p>
    <w:p>
      <w:pPr>
        <w:pStyle w:val="ListBullet"/>
      </w:pPr>
      <w:r>
        <w:rPr>
          <w:b/>
          <w:color w:val="0F766E"/>
        </w:rPr>
        <w:t xml:space="preserve">Proposed / Assumption A1: </w:t>
      </w:r>
      <w:r>
        <w:t>Day 1: Define survey objectives, key questions, and target customer segment.</w:t>
      </w:r>
      <w:r>
        <w:rPr>
          <w:color w:val="595959"/>
        </w:rPr>
        <w:t xml:space="preserve"> — Owner: Product lead (or equivalent); Due: End of Day 1</w:t>
      </w:r>
    </w:p>
    <w:p>
      <w:pPr>
        <w:pStyle w:val="ListBullet"/>
      </w:pPr>
      <w:r>
        <w:rPr>
          <w:b/>
          <w:color w:val="0F766E"/>
        </w:rPr>
        <w:t xml:space="preserve">Proposed / Assumption A1: </w:t>
      </w:r>
      <w:r>
        <w:t>Product lead to own survey design and question framing</w:t>
      </w:r>
    </w:p>
    <w:p>
      <w:pPr>
        <w:pStyle w:val="ListBullet"/>
      </w:pPr>
      <w:r>
        <w:rPr>
          <w:b/>
          <w:color w:val="0F766E"/>
        </w:rPr>
        <w:t xml:space="preserve">Proposed / Assumption A2: </w:t>
      </w:r>
      <w:r>
        <w:t>Day 2: Build the survey in the existing low‑cost platform and set up distribution logistics.</w:t>
      </w:r>
      <w:r>
        <w:rPr>
          <w:color w:val="595959"/>
        </w:rPr>
        <w:t xml:space="preserve"> — Owner: Marketing specialist (or equivalent); Due: End of Day 2</w:t>
      </w:r>
    </w:p>
    <w:p>
      <w:pPr>
        <w:pStyle w:val="ListBullet"/>
      </w:pPr>
      <w:r>
        <w:rPr>
          <w:b/>
          <w:color w:val="0F766E"/>
        </w:rPr>
        <w:t xml:space="preserve">Proposed / Assumption A2: </w:t>
      </w:r>
      <w:r>
        <w:t>Marketing specialist to configure the survey and manage invitation list</w:t>
      </w:r>
    </w:p>
    <w:p>
      <w:pPr>
        <w:pStyle w:val="ListBullet"/>
      </w:pPr>
      <w:r>
        <w:rPr>
          <w:b/>
          <w:color w:val="0F766E"/>
        </w:rPr>
        <w:t xml:space="preserve">Proposed / Assumption A1: </w:t>
      </w:r>
      <w:r>
        <w:t>Day 3: Launch the survey to the selected customers and monitor response rates.</w:t>
      </w:r>
      <w:r>
        <w:rPr>
          <w:color w:val="595959"/>
        </w:rPr>
        <w:t xml:space="preserve"> — Owner: Customer success lead (or equivalent); Due: End of Day 3</w:t>
      </w:r>
    </w:p>
    <w:p>
      <w:pPr>
        <w:pStyle w:val="ListBullet"/>
      </w:pPr>
      <w:r>
        <w:rPr>
          <w:b/>
          <w:color w:val="0F766E"/>
        </w:rPr>
        <w:t xml:space="preserve">Proposed / Assumption A1: </w:t>
      </w:r>
      <w:r>
        <w:t>Customer success lead to oversee distribution and handle any respondent inquiries</w:t>
      </w:r>
    </w:p>
    <w:p>
      <w:pPr>
        <w:pStyle w:val="ListBullet"/>
      </w:pPr>
      <w:r>
        <w:rPr>
          <w:b/>
          <w:color w:val="0F766E"/>
        </w:rPr>
        <w:t xml:space="preserve">Proposed / Assumption A1: </w:t>
      </w:r>
      <w:r>
        <w:t>Day 4: Close the survey, clean the data, and perform preliminary analysis.</w:t>
      </w:r>
      <w:r>
        <w:rPr>
          <w:color w:val="595959"/>
        </w:rPr>
        <w:t xml:space="preserve"> — Owner: Data analyst (or equivalent); Due: End of Day 4</w:t>
      </w:r>
    </w:p>
    <w:p>
      <w:pPr>
        <w:pStyle w:val="ListBullet"/>
      </w:pPr>
      <w:r>
        <w:rPr>
          <w:b/>
          <w:color w:val="0F766E"/>
        </w:rPr>
        <w:t xml:space="preserve">Proposed / Assumption A1: </w:t>
      </w:r>
      <w:r>
        <w:t>Data analyst to process responses and generate initial insights</w:t>
      </w:r>
    </w:p>
    <w:p>
      <w:pPr>
        <w:pStyle w:val="ListBullet"/>
      </w:pPr>
      <w:r>
        <w:rPr>
          <w:b/>
          <w:color w:val="0F766E"/>
        </w:rPr>
        <w:t xml:space="preserve">Proposed / Assumption A1: </w:t>
      </w:r>
      <w:r>
        <w:t>Day 5: Present findings to stakeholders and outline next steps.</w:t>
      </w:r>
      <w:r>
        <w:rPr>
          <w:color w:val="595959"/>
        </w:rPr>
        <w:t xml:space="preserve"> — Owner: Product lead (or equivalent); Due: End of Day 5</w:t>
      </w:r>
    </w:p>
    <w:p>
      <w:pPr>
        <w:pStyle w:val="ListBullet"/>
      </w:pPr>
      <w:r>
        <w:rPr>
          <w:b/>
          <w:color w:val="0F766E"/>
        </w:rPr>
        <w:t xml:space="preserve">Proposed / Assumption A1: </w:t>
      </w:r>
      <w:r>
        <w:t>Product lead to synthesize insights and prepare the final report</w:t>
      </w:r>
    </w:p>
    <w:p>
      <w:pPr>
        <w:pStyle w:val="Heading1"/>
      </w:pPr>
      <w:r>
        <w:t>Risks &amp; Mitigations</w:t>
      </w:r>
    </w:p>
    <w:p>
      <w:r>
        <w:t>The pilot carries two primary risks that could affect the ability to collect useful feedback within the five‑day window. Both risks are addressed with concrete mitigation actions to ensure the pilot remains on track without requiring additional budget.</w:t>
      </w:r>
    </w:p>
    <w:p>
      <w:pPr>
        <w:pStyle w:val="ListBullet"/>
      </w:pPr>
      <w:r>
        <w:rPr>
          <w:b/>
          <w:color w:val="0F766E"/>
        </w:rPr>
        <w:t xml:space="preserve">Potential / Assumption A2: </w:t>
      </w:r>
      <w:r>
        <w:t>Risk: Low response rate may prevent gathering sufficient feedback within five working days.</w:t>
      </w:r>
    </w:p>
    <w:p>
      <w:pPr>
        <w:pStyle w:val="ListBullet"/>
      </w:pPr>
      <w:r>
        <w:rPr>
          <w:b/>
          <w:color w:val="0F766E"/>
        </w:rPr>
        <w:t xml:space="preserve">Recommended / Assumption A1: </w:t>
      </w:r>
      <w:r>
        <w:t>Mitigation: Pre‑notify selected customers on Day 1 and send a reminder on Day 3 to boost participation.</w:t>
      </w:r>
      <w:r>
        <w:rPr>
          <w:color w:val="595959"/>
        </w:rPr>
        <w:t xml:space="preserve"> — Owner: Customer success lead (or equivalent); Due: Day 3</w:t>
      </w:r>
    </w:p>
    <w:p>
      <w:pPr>
        <w:pStyle w:val="ListBullet"/>
      </w:pPr>
      <w:r>
        <w:rPr>
          <w:b/>
          <w:color w:val="0F766E"/>
        </w:rPr>
        <w:t xml:space="preserve">Potential / Assumption A1: </w:t>
      </w:r>
      <w:r>
        <w:t>Risk: Data quality issues (incomplete or inconsistent responses) could limit insight value.</w:t>
      </w:r>
    </w:p>
    <w:p>
      <w:pPr>
        <w:pStyle w:val="ListBullet"/>
      </w:pPr>
      <w:r>
        <w:rPr>
          <w:b/>
          <w:color w:val="0F766E"/>
        </w:rPr>
        <w:t xml:space="preserve">Recommended / Assumption A2: </w:t>
      </w:r>
      <w:r>
        <w:t>Mitigation: Include mandatory fields and validation rules in the survey design, and conduct a quick data‑cleaning pass on Day 4.</w:t>
      </w:r>
      <w:r>
        <w:rPr>
          <w:color w:val="595959"/>
        </w:rPr>
        <w:t xml:space="preserve"> — Owner: Data analyst (or equivalent); Due: End of Day 4</w:t>
      </w:r>
    </w:p>
    <w:p>
      <w:pPr>
        <w:pStyle w:val="Heading1"/>
      </w:pPr>
      <w:r>
        <w:t>Assumptions</w:t>
      </w:r>
    </w:p>
    <w:p>
      <w:pPr>
        <w:pStyle w:val="ListBullet"/>
      </w:pPr>
      <w:r>
        <w:rPr>
          <w:b/>
        </w:rPr>
        <w:t xml:space="preserve">Assumption A1: </w:t>
      </w:r>
      <w:r>
        <w:t>A cross‑functional team of 4‑6 members will be allocated to the pilot.</w:t>
      </w:r>
      <w:r>
        <w:rPr>
          <w:color w:val="595959"/>
        </w:rPr>
        <w:t xml:space="preserve"> — Team size is unknown; a small, manageable team is typical for pilot projects.</w:t>
      </w:r>
    </w:p>
    <w:p>
      <w:pPr>
        <w:pStyle w:val="ListBullet"/>
      </w:pPr>
      <w:r>
        <w:rPr>
          <w:b/>
        </w:rPr>
        <w:t xml:space="preserve">Assumption A2: </w:t>
      </w:r>
      <w:r>
        <w:t>An existing low‑cost survey platform (e.g., Google Forms) will be used for feedback collection.</w:t>
      </w:r>
      <w:r>
        <w:rPr>
          <w:color w:val="595959"/>
        </w:rPr>
        <w:t xml:space="preserve"> — No additional budget is available, so a free or already‑licensed tool is assumed.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Generated by the Autonomous Document Agent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76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F766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