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b/>
          <w:color w:val="168C8C"/>
          <w:sz w:val="26"/>
        </w:rPr>
        <w:t>WEEK 3 PROJECT REPORT</w:t>
      </w:r>
    </w:p>
    <w:p>
      <w:pPr>
        <w:pStyle w:val="Title"/>
        <w:spacing w:after="320"/>
      </w:pPr>
      <w:r>
        <w:t>Data Cleaning &amp;</w:t>
        <w:br/>
        <w:t>Preprocessing Pipeline</w:t>
      </w:r>
    </w:p>
    <w:p>
      <w:r>
        <w:rPr>
          <w:color w:val="243746"/>
          <w:sz w:val="32"/>
        </w:rPr>
        <w:t>A reproducible, evidence-led workflow for beauty and wellness product data</w:t>
      </w:r>
    </w:p>
    <w:p/>
    <w:tbl>
      <w:tblPr>
        <w:tblStyle w:val="TableGrid"/>
        <w:tblW w:type="auto" w:w="0"/>
        <w:jc w:val="center"/>
        <w:tblLayout w:type="autofit"/>
        <w:tblLook w:firstColumn="1" w:firstRow="1" w:lastColumn="0" w:lastRow="0" w:noHBand="0" w:noVBand="1" w:val="04A0"/>
      </w:tblPr>
      <w:tblGrid>
        <w:gridCol w:w="5040"/>
        <w:gridCol w:w="5040"/>
      </w:tblGrid>
      <w:tr>
        <w:tc>
          <w:tcPr>
            <w:tcW w:type="dxa" w:w="2160"/>
            <w:vAlign w:val="center"/>
            <w:shd w:fill="17365D"/>
          </w:tcPr>
          <w:p>
            <w:pPr>
              <w:spacing w:after="20"/>
            </w:pPr>
            <w:r/>
            <w:r>
              <w:rPr>
                <w:rFonts w:ascii="Calibri" w:hAnsi="Calibri"/>
                <w:b/>
                <w:color w:val="FFFFFF"/>
                <w:sz w:val="20"/>
              </w:rPr>
              <w:t>REPORT DETAILS</w:t>
            </w:r>
          </w:p>
        </w:tc>
        <w:tc>
          <w:tcPr>
            <w:tcW w:type="dxa" w:w="8208"/>
            <w:vAlign w:val="center"/>
            <w:shd w:fill="17365D"/>
          </w:tcPr>
          <w:p>
            <w:pPr>
              <w:spacing w:after="20"/>
            </w:pPr>
            <w:r/>
            <w:r>
              <w:rPr>
                <w:rFonts w:ascii="Calibri" w:hAnsi="Calibri"/>
                <w:b/>
                <w:color w:val="FFFFFF"/>
                <w:sz w:val="20"/>
              </w:rPr>
              <w:t>SCOPE</w:t>
            </w:r>
          </w:p>
        </w:tc>
      </w:tr>
      <w:tr>
        <w:tc>
          <w:tcPr>
            <w:tcW w:type="dxa" w:w="2160"/>
            <w:vAlign w:val="center"/>
          </w:tcPr>
          <w:p>
            <w:pPr>
              <w:spacing w:after="20"/>
            </w:pPr>
            <w:r/>
            <w:r>
              <w:rPr>
                <w:rFonts w:ascii="Calibri" w:hAnsi="Calibri"/>
                <w:b w:val="0"/>
                <w:color w:val="243746"/>
                <w:sz w:val="20"/>
              </w:rPr>
              <w:t>Project week</w:t>
            </w:r>
          </w:p>
        </w:tc>
        <w:tc>
          <w:tcPr>
            <w:tcW w:type="dxa" w:w="8208"/>
            <w:vAlign w:val="center"/>
          </w:tcPr>
          <w:p>
            <w:pPr>
              <w:spacing w:after="20"/>
            </w:pPr>
            <w:r/>
            <w:r>
              <w:rPr>
                <w:rFonts w:ascii="Calibri" w:hAnsi="Calibri"/>
                <w:b w:val="0"/>
                <w:color w:val="243746"/>
                <w:sz w:val="20"/>
              </w:rPr>
              <w:t>Week 3 — data quality assessment, cleaning and feature preparation</w:t>
            </w:r>
          </w:p>
        </w:tc>
      </w:tr>
      <w:tr>
        <w:tc>
          <w:tcPr>
            <w:tcW w:type="dxa" w:w="2160"/>
            <w:vAlign w:val="center"/>
            <w:shd w:fill="F3F6F8"/>
          </w:tcPr>
          <w:p>
            <w:pPr>
              <w:spacing w:after="20"/>
            </w:pPr>
            <w:r/>
            <w:r>
              <w:rPr>
                <w:rFonts w:ascii="Calibri" w:hAnsi="Calibri"/>
                <w:b w:val="0"/>
                <w:color w:val="243746"/>
                <w:sz w:val="20"/>
              </w:rPr>
              <w:t>Applied domain</w:t>
            </w:r>
          </w:p>
        </w:tc>
        <w:tc>
          <w:tcPr>
            <w:tcW w:type="dxa" w:w="8208"/>
            <w:vAlign w:val="center"/>
            <w:shd w:fill="F3F6F8"/>
          </w:tcPr>
          <w:p>
            <w:pPr>
              <w:spacing w:after="20"/>
            </w:pPr>
            <w:r/>
            <w:r>
              <w:rPr>
                <w:rFonts w:ascii="Calibri" w:hAnsi="Calibri"/>
                <w:b w:val="0"/>
                <w:color w:val="243746"/>
                <w:sz w:val="20"/>
              </w:rPr>
              <w:t>Publicly listed cosmetic and personal-care product catalog records</w:t>
            </w:r>
          </w:p>
        </w:tc>
      </w:tr>
      <w:tr>
        <w:tc>
          <w:tcPr>
            <w:tcW w:type="dxa" w:w="2160"/>
            <w:vAlign w:val="center"/>
          </w:tcPr>
          <w:p>
            <w:pPr>
              <w:spacing w:after="20"/>
            </w:pPr>
            <w:r/>
            <w:r>
              <w:rPr>
                <w:rFonts w:ascii="Calibri" w:hAnsi="Calibri"/>
                <w:b w:val="0"/>
                <w:color w:val="243746"/>
                <w:sz w:val="20"/>
              </w:rPr>
              <w:t>Demonstration</w:t>
            </w:r>
          </w:p>
        </w:tc>
        <w:tc>
          <w:tcPr>
            <w:tcW w:type="dxa" w:w="8208"/>
            <w:vAlign w:val="center"/>
          </w:tcPr>
          <w:p>
            <w:pPr>
              <w:spacing w:after="20"/>
            </w:pPr>
            <w:r/>
            <w:r>
              <w:rPr>
                <w:rFonts w:ascii="Calibri" w:hAnsi="Calibri"/>
                <w:b w:val="0"/>
                <w:color w:val="243746"/>
                <w:sz w:val="20"/>
              </w:rPr>
              <w:t>Transparent synthetic 10-row example; not represented as a real downloaded dataset</w:t>
            </w:r>
          </w:p>
        </w:tc>
      </w:tr>
      <w:tr>
        <w:tc>
          <w:tcPr>
            <w:tcW w:type="dxa" w:w="2160"/>
            <w:vAlign w:val="center"/>
            <w:shd w:fill="F3F6F8"/>
          </w:tcPr>
          <w:p>
            <w:pPr>
              <w:spacing w:after="20"/>
            </w:pPr>
            <w:r/>
            <w:r>
              <w:rPr>
                <w:rFonts w:ascii="Calibri" w:hAnsi="Calibri"/>
                <w:b w:val="0"/>
                <w:color w:val="243746"/>
                <w:sz w:val="20"/>
              </w:rPr>
              <w:t>Primary tools</w:t>
            </w:r>
          </w:p>
        </w:tc>
        <w:tc>
          <w:tcPr>
            <w:tcW w:type="dxa" w:w="8208"/>
            <w:vAlign w:val="center"/>
            <w:shd w:fill="F3F6F8"/>
          </w:tcPr>
          <w:p>
            <w:pPr>
              <w:spacing w:after="20"/>
            </w:pPr>
            <w:r/>
            <w:r>
              <w:rPr>
                <w:rFonts w:ascii="Calibri" w:hAnsi="Calibri"/>
                <w:b w:val="0"/>
                <w:color w:val="243746"/>
                <w:sz w:val="20"/>
              </w:rPr>
              <w:t>Python, pandas, NumPy, scikit-learn, matplotlib/seaborn, pytest</w:t>
            </w:r>
          </w:p>
        </w:tc>
      </w:tr>
      <w:tr>
        <w:tc>
          <w:tcPr>
            <w:tcW w:type="dxa" w:w="2160"/>
            <w:vAlign w:val="center"/>
          </w:tcPr>
          <w:p>
            <w:pPr>
              <w:spacing w:after="20"/>
            </w:pPr>
            <w:r/>
            <w:r>
              <w:rPr>
                <w:rFonts w:ascii="Calibri" w:hAnsi="Calibri"/>
                <w:b w:val="0"/>
                <w:color w:val="243746"/>
                <w:sz w:val="20"/>
              </w:rPr>
              <w:t>Effort plan</w:t>
            </w:r>
          </w:p>
        </w:tc>
        <w:tc>
          <w:tcPr>
            <w:tcW w:type="dxa" w:w="8208"/>
            <w:vAlign w:val="center"/>
          </w:tcPr>
          <w:p>
            <w:pPr>
              <w:spacing w:after="20"/>
            </w:pPr>
            <w:r/>
            <w:r>
              <w:rPr>
                <w:rFonts w:ascii="Calibri" w:hAnsi="Calibri"/>
                <w:b w:val="0"/>
                <w:color w:val="243746"/>
                <w:sz w:val="20"/>
              </w:rPr>
              <w:t>33 hours of planned project work (planning estimate, not a time log)</w:t>
            </w:r>
          </w:p>
        </w:tc>
      </w:tr>
    </w:tbl>
    <w:p>
      <w:pPr>
        <w:spacing w:after="20"/>
      </w:pPr>
    </w:p>
    <w:p>
      <w:pPr>
        <w:spacing w:before="520"/>
      </w:pPr>
      <w:r>
        <w:rPr>
          <w:b/>
        </w:rPr>
        <w:t>Purpose</w:t>
      </w:r>
    </w:p>
    <w:p>
      <w:pPr>
        <w:spacing w:after="100"/>
      </w:pPr>
      <w:r>
        <w:t>Turn inconsistent public product records into an auditable analysis table while preserving uncertainty, source provenance and meaningful exceptions. The pipeline is designed for product-level exploration—not medical, safety or efficacy claims.</w:t>
      </w:r>
    </w:p>
    <w:p>
      <w:r>
        <w:br w:type="page"/>
      </w:r>
    </w:p>
    <w:p>
      <w:pPr>
        <w:pStyle w:val="Heading1"/>
        <w:keepNext/>
      </w:pPr>
      <w:r>
        <w:t>Executive summary</w:t>
      </w:r>
    </w:p>
    <w:p>
      <w:pPr>
        <w:spacing w:after="100"/>
      </w:pPr>
      <w:r>
        <w:t>Beauty and wellness product data commonly combines volunteered catalog entries, multilingual labels, package-size variants, inconsistent categories and incomplete ingredient or rating fields. Treating missing data as zero, deleting every statistical outlier, or merging products by name alone can create misleading findings. This report proposes a staged workflow that measures defects before modifying data, records every decision, and keeps the raw source immutable.</w:t>
      </w:r>
    </w:p>
    <w:p>
      <w:pPr>
        <w:spacing w:after="100"/>
      </w:pPr>
      <w:r>
        <w:t>The working example uses 10 deliberately constructed catalog rows to demonstrate real cleaning decisions. Exact duplicate removal reduces 10 rows to 9; one row with no product name is quarantined, leaving 8 analysis candidates. Among those 8, one ingredient list is missing (12.5%), two of eight ratings are unusable after range validation (25.0%, one blank and one value of 8.2 on a 1–5 scale), and one price is invalid because it is negative (12.5%). A text review count of “1,200” is parsed as 1,200, not 1. These are illustrative counts from the synthetic example, not observations about any real source.</w:t>
      </w:r>
    </w:p>
    <w:p>
      <w:pPr>
        <w:spacing w:after="100"/>
      </w:pPr>
      <w:r>
        <w:t>The deliverable provides source-selection and licensing checks, a concrete exploratory-analysis plan, field-level repair policies, a flow schematic, a Python implementation template, validation tests, model leakage safeguards, and a 33-hour work plan. It explicitly separates an analysis-ready catalog from a model-ready feature matrix.</w:t>
      </w:r>
    </w:p>
    <w:p>
      <w:pPr>
        <w:pStyle w:val="Heading2"/>
        <w:keepNext/>
      </w:pPr>
      <w:r>
        <w:t>How to use this report</w:t>
      </w:r>
    </w:p>
    <w:p>
      <w:pPr>
        <w:pStyle w:val="ListBullet"/>
        <w:spacing w:after="40"/>
      </w:pPr>
      <w:r>
        <w:t>Replace the synthetic demonstration with a dated, legally permitted source snapshot; record the exact extraction query, file hash and license.</w:t>
      </w:r>
    </w:p>
    <w:p>
      <w:pPr>
        <w:pStyle w:val="ListBullet"/>
        <w:spacing w:after="40"/>
      </w:pPr>
      <w:r>
        <w:t>Review the proposed thresholds and business rules with the project owner before applying them to a real source.</w:t>
      </w:r>
    </w:p>
    <w:p>
      <w:pPr>
        <w:pStyle w:val="ListBullet"/>
        <w:spacing w:after="40"/>
      </w:pPr>
      <w:r>
        <w:t>Keep raw, cleaned and model-ready outputs separate. Never overwrite the downloaded source.</w:t>
      </w:r>
    </w:p>
    <w:p>
      <w:pPr>
        <w:pStyle w:val="ListBullet"/>
        <w:spacing w:after="40"/>
      </w:pPr>
      <w:r>
        <w:t>Treat every number labeled illustrative as a worked example—not measured evidence.</w:t>
      </w:r>
    </w:p>
    <w:p>
      <w:pPr>
        <w:pStyle w:val="Heading1"/>
        <w:keepNext/>
      </w:pPr>
      <w:r>
        <w:t>Contents</w:t>
      </w:r>
    </w:p>
    <w:p>
      <w:pPr>
        <w:pStyle w:val="ListBullet"/>
        <w:spacing w:after="40"/>
      </w:pPr>
      <w:r>
        <w:t>1. Project definition and analytical questions</w:t>
      </w:r>
    </w:p>
    <w:p>
      <w:pPr>
        <w:pStyle w:val="ListBullet"/>
        <w:spacing w:after="40"/>
      </w:pPr>
      <w:r>
        <w:t>2. Data sourcing strategy and governance</w:t>
      </w:r>
    </w:p>
    <w:p>
      <w:pPr>
        <w:pStyle w:val="ListBullet"/>
        <w:spacing w:after="40"/>
      </w:pPr>
      <w:r>
        <w:t>3. Beauty &amp; wellness data risks and quality dimensions</w:t>
      </w:r>
    </w:p>
    <w:p>
      <w:pPr>
        <w:pStyle w:val="ListBullet"/>
        <w:spacing w:after="40"/>
      </w:pPr>
      <w:r>
        <w:t>4. Dataset contract and field-level rules</w:t>
      </w:r>
    </w:p>
    <w:p>
      <w:pPr>
        <w:pStyle w:val="ListBullet"/>
        <w:spacing w:after="40"/>
      </w:pPr>
      <w:r>
        <w:t>5. Exploratory data analysis and quality assessment</w:t>
      </w:r>
    </w:p>
    <w:p>
      <w:pPr>
        <w:pStyle w:val="ListBullet"/>
        <w:spacing w:after="40"/>
      </w:pPr>
      <w:r>
        <w:t>6. Worked synthetic example with counts</w:t>
      </w:r>
    </w:p>
    <w:p>
      <w:pPr>
        <w:pStyle w:val="ListBullet"/>
        <w:spacing w:after="40"/>
      </w:pPr>
      <w:r>
        <w:t>7. Cleaning and preprocessing workflow</w:t>
      </w:r>
    </w:p>
    <w:p>
      <w:pPr>
        <w:pStyle w:val="ListBullet"/>
        <w:spacing w:after="40"/>
      </w:pPr>
      <w:r>
        <w:t>8. Python tools and implementation template</w:t>
      </w:r>
    </w:p>
    <w:p>
      <w:pPr>
        <w:pStyle w:val="ListBullet"/>
        <w:spacing w:after="40"/>
      </w:pPr>
      <w:r>
        <w:t>9. Flowchart and rationale</w:t>
      </w:r>
    </w:p>
    <w:p>
      <w:pPr>
        <w:pStyle w:val="ListBullet"/>
        <w:spacing w:after="40"/>
      </w:pPr>
      <w:r>
        <w:t>10. Reproducibility, validation and documentation</w:t>
      </w:r>
    </w:p>
    <w:p>
      <w:pPr>
        <w:pStyle w:val="ListBullet"/>
        <w:spacing w:after="40"/>
      </w:pPr>
      <w:r>
        <w:t>11. How preparation supports analysis and modeling</w:t>
      </w:r>
    </w:p>
    <w:p>
      <w:pPr>
        <w:pStyle w:val="ListBullet"/>
        <w:spacing w:after="40"/>
      </w:pPr>
      <w:r>
        <w:t>12. Planned 33-hour execution schedule</w:t>
      </w:r>
    </w:p>
    <w:p>
      <w:pPr>
        <w:pStyle w:val="ListBullet"/>
        <w:spacing w:after="40"/>
      </w:pPr>
      <w:r>
        <w:t>13. Limitations, risks and conclusion</w:t>
      </w:r>
    </w:p>
    <w:p>
      <w:pPr>
        <w:pStyle w:val="ListBullet"/>
        <w:spacing w:after="40"/>
      </w:pPr>
      <w:r>
        <w:t>Appendix A. Quality checklist</w:t>
      </w:r>
    </w:p>
    <w:p>
      <w:pPr>
        <w:pStyle w:val="ListBullet"/>
        <w:spacing w:after="40"/>
      </w:pPr>
      <w:r>
        <w:t>Appendix B. Sources and further reading</w:t>
      </w:r>
    </w:p>
    <w:p>
      <w:r>
        <w:br w:type="page"/>
      </w:r>
    </w:p>
    <w:p>
      <w:pPr>
        <w:pStyle w:val="Heading1"/>
        <w:keepNext/>
      </w:pPr>
      <w:r>
        <w:t>1. Project definition and analytical questions</w:t>
      </w:r>
    </w:p>
    <w:p>
      <w:pPr>
        <w:spacing w:after="100"/>
      </w:pPr>
      <w:r>
        <w:t>Scope assumption: because no prior-week file or named dataset was present in the workspace, this report defines a self-contained, adaptable project using product-level cosmetics/personal-care catalog data. It does not claim to know the user's earlier conceptual dataset. The proposed source strategy should be adjusted if that dataset is different.</w:t>
      </w:r>
    </w:p>
    <w:p>
      <w:pPr>
        <w:pStyle w:val="Heading2"/>
        <w:keepNext/>
      </w:pPr>
      <w:r>
        <w:t>1.1 Intended unit of analysis</w:t>
      </w:r>
    </w:p>
    <w:p>
      <w:pPr>
        <w:spacing w:after="100"/>
      </w:pPr>
      <w:r>
        <w:t>One row represents one distinct product variant from one source snapshot. A variant may differ by barcode, formulation, package size or market. A brand name is not a unique product identifier, and two sizes of the same formulation should not be collapsed unless the analytical question explicitly requires it.</w:t>
      </w:r>
    </w:p>
    <w:p>
      <w:pPr>
        <w:pStyle w:val="Heading2"/>
        <w:keepNext/>
      </w:pPr>
      <w:r>
        <w:t>1.2 Example questions the prepared data can support</w:t>
      </w:r>
    </w:p>
    <w:p>
      <w:pPr>
        <w:pStyle w:val="ListBullet"/>
        <w:spacing w:after="40"/>
      </w:pPr>
      <w:r>
        <w:t>What fraction of catalog products have a populated ingredient list, by broad product category?</w:t>
      </w:r>
    </w:p>
    <w:p>
      <w:pPr>
        <w:pStyle w:val="ListBullet"/>
        <w:spacing w:after="40"/>
      </w:pPr>
      <w:r>
        <w:t>How do listed prices per 100 mL or 100 g vary across categories, after unit and currency checks?</w:t>
      </w:r>
    </w:p>
    <w:p>
      <w:pPr>
        <w:pStyle w:val="ListBullet"/>
        <w:spacing w:after="40"/>
      </w:pPr>
      <w:r>
        <w:t>Are ratings and review counts distributed differently across categories, among products with observed ratings?</w:t>
      </w:r>
    </w:p>
    <w:p>
      <w:pPr>
        <w:pStyle w:val="ListBullet"/>
        <w:spacing w:after="40"/>
      </w:pPr>
      <w:r>
        <w:t>Which ingredient tokens are commonly listed in the catalog, with wording/INCI caveats?</w:t>
      </w:r>
    </w:p>
    <w:p>
      <w:pPr>
        <w:spacing w:after="100"/>
      </w:pPr>
      <w:r>
        <w:t>These are descriptive questions about catalog coverage and listed attributes. Public catalogs are not necessarily representative of all products, consumers, sales or exposure. Ingredient presence alone does not establish concentration, safety, effectiveness, regulatory compliance or suitability.</w:t>
      </w:r>
    </w:p>
    <w:p>
      <w:pPr>
        <w:pStyle w:val="Heading2"/>
        <w:keepNext/>
      </w:pPr>
      <w:r>
        <w:t>1.3 Success criteria</w:t>
      </w:r>
    </w:p>
    <w:tbl>
      <w:tblPr>
        <w:tblStyle w:val="TableGrid"/>
        <w:tblW w:type="auto" w:w="0"/>
        <w:jc w:val="center"/>
        <w:tblLayout w:type="autofit"/>
        <w:tblLook w:firstColumn="1" w:firstRow="1" w:lastColumn="0" w:lastRow="0" w:noHBand="0" w:noVBand="1" w:val="04A0"/>
      </w:tblPr>
      <w:tblGrid>
        <w:gridCol w:w="5040"/>
        <w:gridCol w:w="5040"/>
      </w:tblGrid>
      <w:tr>
        <w:tc>
          <w:tcPr>
            <w:tcW w:type="dxa" w:w="1800"/>
            <w:vAlign w:val="center"/>
            <w:shd w:fill="17365D"/>
          </w:tcPr>
          <w:p>
            <w:pPr>
              <w:spacing w:after="20"/>
            </w:pPr>
            <w:r/>
            <w:r>
              <w:rPr>
                <w:rFonts w:ascii="Calibri" w:hAnsi="Calibri"/>
                <w:b/>
                <w:color w:val="FFFFFF"/>
                <w:sz w:val="17"/>
              </w:rPr>
              <w:t>MEASURE</w:t>
            </w:r>
          </w:p>
        </w:tc>
        <w:tc>
          <w:tcPr>
            <w:tcW w:type="dxa" w:w="8568"/>
            <w:vAlign w:val="center"/>
            <w:shd w:fill="17365D"/>
          </w:tcPr>
          <w:p>
            <w:pPr>
              <w:spacing w:after="20"/>
            </w:pPr>
            <w:r/>
            <w:r>
              <w:rPr>
                <w:rFonts w:ascii="Calibri" w:hAnsi="Calibri"/>
                <w:b/>
                <w:color w:val="FFFFFF"/>
                <w:sz w:val="17"/>
              </w:rPr>
              <w:t>ACCEPTANCE CHECK</w:t>
            </w:r>
          </w:p>
        </w:tc>
      </w:tr>
      <w:tr>
        <w:tc>
          <w:tcPr>
            <w:tcW w:type="dxa" w:w="1800"/>
            <w:vAlign w:val="center"/>
          </w:tcPr>
          <w:p>
            <w:pPr>
              <w:spacing w:after="20"/>
            </w:pPr>
            <w:r/>
            <w:r>
              <w:rPr>
                <w:rFonts w:ascii="Calibri" w:hAnsi="Calibri"/>
                <w:b w:val="0"/>
                <w:color w:val="243746"/>
                <w:sz w:val="17"/>
              </w:rPr>
              <w:t>Traceability</w:t>
            </w:r>
          </w:p>
        </w:tc>
        <w:tc>
          <w:tcPr>
            <w:tcW w:type="dxa" w:w="8568"/>
            <w:vAlign w:val="center"/>
          </w:tcPr>
          <w:p>
            <w:pPr>
              <w:spacing w:after="20"/>
            </w:pPr>
            <w:r/>
            <w:r>
              <w:rPr>
                <w:rFonts w:ascii="Calibri" w:hAnsi="Calibri"/>
                <w:b w:val="0"/>
                <w:color w:val="243746"/>
                <w:sz w:val="17"/>
              </w:rPr>
              <w:t>Every retained row has source_record_id, source_snapshot_date and source URI/export reference.</w:t>
            </w:r>
          </w:p>
        </w:tc>
      </w:tr>
      <w:tr>
        <w:tc>
          <w:tcPr>
            <w:tcW w:type="dxa" w:w="1800"/>
            <w:vAlign w:val="center"/>
            <w:shd w:fill="F3F6F8"/>
          </w:tcPr>
          <w:p>
            <w:pPr>
              <w:spacing w:after="20"/>
            </w:pPr>
            <w:r/>
            <w:r>
              <w:rPr>
                <w:rFonts w:ascii="Calibri" w:hAnsi="Calibri"/>
                <w:b w:val="0"/>
                <w:color w:val="243746"/>
                <w:sz w:val="17"/>
              </w:rPr>
              <w:t>Identity</w:t>
            </w:r>
          </w:p>
        </w:tc>
        <w:tc>
          <w:tcPr>
            <w:tcW w:type="dxa" w:w="8568"/>
            <w:vAlign w:val="center"/>
            <w:shd w:fill="F3F6F8"/>
          </w:tcPr>
          <w:p>
            <w:pPr>
              <w:spacing w:after="20"/>
            </w:pPr>
            <w:r/>
            <w:r>
              <w:rPr>
                <w:rFonts w:ascii="Calibri" w:hAnsi="Calibri"/>
                <w:b w:val="0"/>
                <w:color w:val="243746"/>
                <w:sz w:val="17"/>
              </w:rPr>
              <w:t>No unresolved exact duplicate keys; ambiguous conflicts are quarantined for review.</w:t>
            </w:r>
          </w:p>
        </w:tc>
      </w:tr>
      <w:tr>
        <w:tc>
          <w:tcPr>
            <w:tcW w:type="dxa" w:w="1800"/>
            <w:vAlign w:val="center"/>
          </w:tcPr>
          <w:p>
            <w:pPr>
              <w:spacing w:after="20"/>
            </w:pPr>
            <w:r/>
            <w:r>
              <w:rPr>
                <w:rFonts w:ascii="Calibri" w:hAnsi="Calibri"/>
                <w:b w:val="0"/>
                <w:color w:val="243746"/>
                <w:sz w:val="17"/>
              </w:rPr>
              <w:t>Validity</w:t>
            </w:r>
          </w:p>
        </w:tc>
        <w:tc>
          <w:tcPr>
            <w:tcW w:type="dxa" w:w="8568"/>
            <w:vAlign w:val="center"/>
          </w:tcPr>
          <w:p>
            <w:pPr>
              <w:spacing w:after="20"/>
            </w:pPr>
            <w:r/>
            <w:r>
              <w:rPr>
                <w:rFonts w:ascii="Calibri" w:hAnsi="Calibri"/>
                <w:b w:val="0"/>
                <w:color w:val="243746"/>
                <w:sz w:val="17"/>
              </w:rPr>
              <w:t>Ratings within the source's verified scale; counts non-negative integers; prices non-negative and currency explicit.</w:t>
            </w:r>
          </w:p>
        </w:tc>
      </w:tr>
      <w:tr>
        <w:tc>
          <w:tcPr>
            <w:tcW w:type="dxa" w:w="1800"/>
            <w:vAlign w:val="center"/>
            <w:shd w:fill="F3F6F8"/>
          </w:tcPr>
          <w:p>
            <w:pPr>
              <w:spacing w:after="20"/>
            </w:pPr>
            <w:r/>
            <w:r>
              <w:rPr>
                <w:rFonts w:ascii="Calibri" w:hAnsi="Calibri"/>
                <w:b w:val="0"/>
                <w:color w:val="243746"/>
                <w:sz w:val="17"/>
              </w:rPr>
              <w:t>Missingness</w:t>
            </w:r>
          </w:p>
        </w:tc>
        <w:tc>
          <w:tcPr>
            <w:tcW w:type="dxa" w:w="8568"/>
            <w:vAlign w:val="center"/>
            <w:shd w:fill="F3F6F8"/>
          </w:tcPr>
          <w:p>
            <w:pPr>
              <w:spacing w:after="20"/>
            </w:pPr>
            <w:r/>
            <w:r>
              <w:rPr>
                <w:rFonts w:ascii="Calibri" w:hAnsi="Calibri"/>
                <w:b w:val="0"/>
                <w:color w:val="243746"/>
                <w:sz w:val="17"/>
              </w:rPr>
              <w:t>Per-column missing rates and handling decisions are reported before/after cleaning.</w:t>
            </w:r>
          </w:p>
        </w:tc>
      </w:tr>
      <w:tr>
        <w:tc>
          <w:tcPr>
            <w:tcW w:type="dxa" w:w="1800"/>
            <w:vAlign w:val="center"/>
          </w:tcPr>
          <w:p>
            <w:pPr>
              <w:spacing w:after="20"/>
            </w:pPr>
            <w:r/>
            <w:r>
              <w:rPr>
                <w:rFonts w:ascii="Calibri" w:hAnsi="Calibri"/>
                <w:b w:val="0"/>
                <w:color w:val="243746"/>
                <w:sz w:val="17"/>
              </w:rPr>
              <w:t>Reproducibility</w:t>
            </w:r>
          </w:p>
        </w:tc>
        <w:tc>
          <w:tcPr>
            <w:tcW w:type="dxa" w:w="8568"/>
            <w:vAlign w:val="center"/>
          </w:tcPr>
          <w:p>
            <w:pPr>
              <w:spacing w:after="20"/>
            </w:pPr>
            <w:r/>
            <w:r>
              <w:rPr>
                <w:rFonts w:ascii="Calibri" w:hAnsi="Calibri"/>
                <w:b w:val="0"/>
                <w:color w:val="243746"/>
                <w:sz w:val="17"/>
              </w:rPr>
              <w:t>Same versioned input, configuration and code produce identical row counts and checksums.</w:t>
            </w:r>
          </w:p>
        </w:tc>
      </w:tr>
      <w:tr>
        <w:tc>
          <w:tcPr>
            <w:tcW w:type="dxa" w:w="1800"/>
            <w:vAlign w:val="center"/>
            <w:shd w:fill="F3F6F8"/>
          </w:tcPr>
          <w:p>
            <w:pPr>
              <w:spacing w:after="20"/>
            </w:pPr>
            <w:r/>
            <w:r>
              <w:rPr>
                <w:rFonts w:ascii="Calibri" w:hAnsi="Calibri"/>
                <w:b w:val="0"/>
                <w:color w:val="243746"/>
                <w:sz w:val="17"/>
              </w:rPr>
              <w:t>Model readiness</w:t>
            </w:r>
          </w:p>
        </w:tc>
        <w:tc>
          <w:tcPr>
            <w:tcW w:type="dxa" w:w="8568"/>
            <w:vAlign w:val="center"/>
            <w:shd w:fill="F3F6F8"/>
          </w:tcPr>
          <w:p>
            <w:pPr>
              <w:spacing w:after="20"/>
            </w:pPr>
            <w:r/>
            <w:r>
              <w:rPr>
                <w:rFonts w:ascii="Calibri" w:hAnsi="Calibri"/>
                <w:b w:val="0"/>
                <w:color w:val="243746"/>
                <w:sz w:val="17"/>
              </w:rPr>
              <w:t>Imputation, scaling and encoding are fit on training folds only.</w:t>
            </w:r>
          </w:p>
        </w:tc>
      </w:tr>
    </w:tbl>
    <w:p>
      <w:pPr>
        <w:spacing w:after="20"/>
      </w:pPr>
    </w:p>
    <w:p>
      <w:pPr>
        <w:pStyle w:val="Heading1"/>
        <w:keepNext/>
      </w:pPr>
      <w:r>
        <w:t>2. Data sourcing strategy and governance</w:t>
      </w:r>
    </w:p>
    <w:p>
      <w:pPr>
        <w:pStyle w:val="Heading2"/>
        <w:keepNext/>
      </w:pPr>
      <w:r>
        <w:t>2.1 Source choice</w:t>
      </w:r>
    </w:p>
    <w:p>
      <w:pPr>
        <w:spacing w:after="100"/>
      </w:pPr>
      <w:r>
        <w:t>Primary candidate: Open Beauty Facts (https://world.openbeautyfacts.org/), a community-contributed product catalog with fields that can include barcode, product name, brands, categories, ingredients and packaging. It is a plausible source for a product-level cleaning exercise because it is domain-specific and supports product lookup/export workflows. Coverage, field definitions, API behavior and data reuse terms can change; verify them on the official project pages at the time of collection.</w:t>
      </w:r>
    </w:p>
    <w:p>
      <w:pPr>
        <w:spacing w:after="100"/>
      </w:pPr>
      <w:r>
        <w:t>Potential secondary source: a government or standards-based reference for category vocabulary or ingredient naming, where a clear reuse license and compatible identifiers exist. Do not merge a second catalog merely because names look similar. Establish field semantics, licensing and a deterministic match strategy first.</w:t>
      </w:r>
    </w:p>
    <w:p>
      <w:pPr>
        <w:pStyle w:val="Heading2"/>
        <w:keepNext/>
      </w:pPr>
      <w:r>
        <w:t>2.2 Collection procedure</w:t>
      </w:r>
    </w:p>
    <w:p>
      <w:pPr>
        <w:pStyle w:val="ListNumber"/>
        <w:spacing w:after="60"/>
      </w:pPr>
      <w:r>
        <w:t>Write a source brief: project question, geographic/market scope, product types, target period, inclusion and exclusion rules, and expected fields.</w:t>
      </w:r>
    </w:p>
    <w:p>
      <w:pPr>
        <w:pStyle w:val="ListNumber"/>
        <w:spacing w:after="60"/>
      </w:pPr>
      <w:r>
        <w:t>Inspect the current official download/API documentation and license. Record the license name/version, attribution requirements, share-alike obligations if applicable, access date and permitted redistribution. Legal review is needed for uncertain use.</w:t>
      </w:r>
    </w:p>
    <w:p>
      <w:pPr>
        <w:pStyle w:val="ListNumber"/>
        <w:spacing w:after="60"/>
      </w:pPr>
      <w:r>
        <w:t>Prefer a documented bulk export or official API over web scraping. Use only needed columns, respect rate limits and terms, and do not collect consumer personal data.</w:t>
      </w:r>
    </w:p>
    <w:p>
      <w:pPr>
        <w:pStyle w:val="ListNumber"/>
        <w:spacing w:after="60"/>
      </w:pPr>
      <w:r>
        <w:t>Save the unmodified response as a dated, access-controlled raw snapshot. Record source URL/endpoint, query/filters, retrieval timestamp (UTC), response format, row count, file size and SHA-256 checksum.</w:t>
      </w:r>
    </w:p>
    <w:p>
      <w:pPr>
        <w:pStyle w:val="ListNumber"/>
        <w:spacing w:after="60"/>
      </w:pPr>
      <w:r>
        <w:t>Keep extraction code and a small schema manifest with the snapshot. Re-fetching the same query later is not a substitute for preserving the original snapshot.</w:t>
      </w:r>
    </w:p>
    <w:p>
      <w:pPr>
        <w:pStyle w:val="ListNumber"/>
        <w:spacing w:after="60"/>
      </w:pPr>
      <w:r>
        <w:t>If the source provides user-contributed records, document coverage and reporting bias; do not interpret missing records as evidence that a product or ingredient does not exist.</w:t>
      </w:r>
    </w:p>
    <w:p>
      <w:pPr>
        <w:pStyle w:val="Heading2"/>
        <w:keepNext/>
      </w:pPr>
      <w:r>
        <w:t>2.3 Minimum provenance record</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vAlign w:val="center"/>
            <w:shd w:fill="17365D"/>
          </w:tcPr>
          <w:p>
            <w:pPr>
              <w:spacing w:after="20"/>
            </w:pPr>
            <w:r/>
            <w:r>
              <w:rPr>
                <w:rFonts w:ascii="Calibri" w:hAnsi="Calibri"/>
                <w:b/>
                <w:color w:val="FFFFFF"/>
                <w:sz w:val="17"/>
              </w:rPr>
              <w:t>PROVENANCE FIELD</w:t>
            </w:r>
          </w:p>
        </w:tc>
        <w:tc>
          <w:tcPr>
            <w:tcW w:type="dxa" w:w="8280"/>
            <w:vAlign w:val="center"/>
            <w:shd w:fill="17365D"/>
          </w:tcPr>
          <w:p>
            <w:pPr>
              <w:spacing w:after="20"/>
            </w:pPr>
            <w:r/>
            <w:r>
              <w:rPr>
                <w:rFonts w:ascii="Calibri" w:hAnsi="Calibri"/>
                <w:b/>
                <w:color w:val="FFFFFF"/>
                <w:sz w:val="17"/>
              </w:rPr>
              <w:t>EXAMPLE / EXPECTED VALUE</w:t>
            </w:r>
          </w:p>
        </w:tc>
      </w:tr>
      <w:tr>
        <w:tc>
          <w:tcPr>
            <w:tcW w:type="dxa" w:w="2088"/>
            <w:vAlign w:val="center"/>
          </w:tcPr>
          <w:p>
            <w:pPr>
              <w:spacing w:after="20"/>
            </w:pPr>
            <w:r/>
            <w:r>
              <w:rPr>
                <w:rFonts w:ascii="Calibri" w:hAnsi="Calibri"/>
                <w:b w:val="0"/>
                <w:color w:val="243746"/>
                <w:sz w:val="17"/>
              </w:rPr>
              <w:t>source_name</w:t>
            </w:r>
          </w:p>
        </w:tc>
        <w:tc>
          <w:tcPr>
            <w:tcW w:type="dxa" w:w="8280"/>
            <w:vAlign w:val="center"/>
          </w:tcPr>
          <w:p>
            <w:pPr>
              <w:spacing w:after="20"/>
            </w:pPr>
            <w:r/>
            <w:r>
              <w:rPr>
                <w:rFonts w:ascii="Calibri" w:hAnsi="Calibri"/>
                <w:b w:val="0"/>
                <w:color w:val="243746"/>
                <w:sz w:val="17"/>
              </w:rPr>
              <w:t>Open Beauty Facts (verify exact source at download)</w:t>
            </w:r>
          </w:p>
        </w:tc>
      </w:tr>
      <w:tr>
        <w:tc>
          <w:tcPr>
            <w:tcW w:type="dxa" w:w="2088"/>
            <w:vAlign w:val="center"/>
            <w:shd w:fill="F3F6F8"/>
          </w:tcPr>
          <w:p>
            <w:pPr>
              <w:spacing w:after="20"/>
            </w:pPr>
            <w:r/>
            <w:r>
              <w:rPr>
                <w:rFonts w:ascii="Calibri" w:hAnsi="Calibri"/>
                <w:b w:val="0"/>
                <w:color w:val="243746"/>
                <w:sz w:val="17"/>
              </w:rPr>
              <w:t>source_uri</w:t>
            </w:r>
          </w:p>
        </w:tc>
        <w:tc>
          <w:tcPr>
            <w:tcW w:type="dxa" w:w="8280"/>
            <w:vAlign w:val="center"/>
            <w:shd w:fill="F3F6F8"/>
          </w:tcPr>
          <w:p>
            <w:pPr>
              <w:spacing w:after="20"/>
            </w:pPr>
            <w:r/>
            <w:r>
              <w:rPr>
                <w:rFonts w:ascii="Calibri" w:hAnsi="Calibri"/>
                <w:b w:val="0"/>
                <w:color w:val="243746"/>
                <w:sz w:val="17"/>
              </w:rPr>
              <w:t>Exact export URL or API endpoint, including relevant query parameters</w:t>
            </w:r>
          </w:p>
        </w:tc>
      </w:tr>
      <w:tr>
        <w:tc>
          <w:tcPr>
            <w:tcW w:type="dxa" w:w="2088"/>
            <w:vAlign w:val="center"/>
          </w:tcPr>
          <w:p>
            <w:pPr>
              <w:spacing w:after="20"/>
            </w:pPr>
            <w:r/>
            <w:r>
              <w:rPr>
                <w:rFonts w:ascii="Calibri" w:hAnsi="Calibri"/>
                <w:b w:val="0"/>
                <w:color w:val="243746"/>
                <w:sz w:val="17"/>
              </w:rPr>
              <w:t>retrieved_at_utc</w:t>
            </w:r>
          </w:p>
        </w:tc>
        <w:tc>
          <w:tcPr>
            <w:tcW w:type="dxa" w:w="8280"/>
            <w:vAlign w:val="center"/>
          </w:tcPr>
          <w:p>
            <w:pPr>
              <w:spacing w:after="20"/>
            </w:pPr>
            <w:r/>
            <w:r>
              <w:rPr>
                <w:rFonts w:ascii="Calibri" w:hAnsi="Calibri"/>
                <w:b w:val="0"/>
                <w:color w:val="243746"/>
                <w:sz w:val="17"/>
              </w:rPr>
              <w:t>ISO 8601 timestamp, e.g. 2026-10-07T00:00:00Z</w:t>
            </w:r>
          </w:p>
        </w:tc>
      </w:tr>
      <w:tr>
        <w:tc>
          <w:tcPr>
            <w:tcW w:type="dxa" w:w="2088"/>
            <w:vAlign w:val="center"/>
            <w:shd w:fill="F3F6F8"/>
          </w:tcPr>
          <w:p>
            <w:pPr>
              <w:spacing w:after="20"/>
            </w:pPr>
            <w:r/>
            <w:r>
              <w:rPr>
                <w:rFonts w:ascii="Calibri" w:hAnsi="Calibri"/>
                <w:b w:val="0"/>
                <w:color w:val="243746"/>
                <w:sz w:val="17"/>
              </w:rPr>
              <w:t>snapshot_sha256</w:t>
            </w:r>
          </w:p>
        </w:tc>
        <w:tc>
          <w:tcPr>
            <w:tcW w:type="dxa" w:w="8280"/>
            <w:vAlign w:val="center"/>
            <w:shd w:fill="F3F6F8"/>
          </w:tcPr>
          <w:p>
            <w:pPr>
              <w:spacing w:after="20"/>
            </w:pPr>
            <w:r/>
            <w:r>
              <w:rPr>
                <w:rFonts w:ascii="Calibri" w:hAnsi="Calibri"/>
                <w:b w:val="0"/>
                <w:color w:val="243746"/>
                <w:sz w:val="17"/>
              </w:rPr>
              <w:t>SHA-256 of the original downloaded bytes</w:t>
            </w:r>
          </w:p>
        </w:tc>
      </w:tr>
      <w:tr>
        <w:tc>
          <w:tcPr>
            <w:tcW w:type="dxa" w:w="2088"/>
            <w:vAlign w:val="center"/>
          </w:tcPr>
          <w:p>
            <w:pPr>
              <w:spacing w:after="20"/>
            </w:pPr>
            <w:r/>
            <w:r>
              <w:rPr>
                <w:rFonts w:ascii="Calibri" w:hAnsi="Calibri"/>
                <w:b w:val="0"/>
                <w:color w:val="243746"/>
                <w:sz w:val="17"/>
              </w:rPr>
              <w:t>license</w:t>
            </w:r>
          </w:p>
        </w:tc>
        <w:tc>
          <w:tcPr>
            <w:tcW w:type="dxa" w:w="8280"/>
            <w:vAlign w:val="center"/>
          </w:tcPr>
          <w:p>
            <w:pPr>
              <w:spacing w:after="20"/>
            </w:pPr>
            <w:r/>
            <w:r>
              <w:rPr>
                <w:rFonts w:ascii="Calibri" w:hAnsi="Calibri"/>
                <w:b w:val="0"/>
                <w:color w:val="243746"/>
                <w:sz w:val="17"/>
              </w:rPr>
              <w:t>Exact license and version confirmed on source documentation</w:t>
            </w:r>
          </w:p>
        </w:tc>
      </w:tr>
      <w:tr>
        <w:tc>
          <w:tcPr>
            <w:tcW w:type="dxa" w:w="2088"/>
            <w:vAlign w:val="center"/>
            <w:shd w:fill="F3F6F8"/>
          </w:tcPr>
          <w:p>
            <w:pPr>
              <w:spacing w:after="20"/>
            </w:pPr>
            <w:r/>
            <w:r>
              <w:rPr>
                <w:rFonts w:ascii="Calibri" w:hAnsi="Calibri"/>
                <w:b w:val="0"/>
                <w:color w:val="243746"/>
                <w:sz w:val="17"/>
              </w:rPr>
              <w:t>extraction</w:t>
            </w:r>
          </w:p>
        </w:tc>
        <w:tc>
          <w:tcPr>
            <w:tcW w:type="dxa" w:w="8280"/>
            <w:vAlign w:val="center"/>
            <w:shd w:fill="F3F6F8"/>
          </w:tcPr>
          <w:p>
            <w:pPr>
              <w:spacing w:after="20"/>
            </w:pPr>
            <w:r/>
            <w:r>
              <w:rPr>
                <w:rFonts w:ascii="Calibri" w:hAnsi="Calibri"/>
                <w:b w:val="0"/>
                <w:color w:val="243746"/>
                <w:sz w:val="17"/>
              </w:rPr>
              <w:t>Script version/commit, selected columns, filters and pagination rules</w:t>
            </w:r>
          </w:p>
        </w:tc>
      </w:tr>
      <w:tr>
        <w:tc>
          <w:tcPr>
            <w:tcW w:type="dxa" w:w="2088"/>
            <w:vAlign w:val="center"/>
          </w:tcPr>
          <w:p>
            <w:pPr>
              <w:spacing w:after="20"/>
            </w:pPr>
            <w:r/>
            <w:r>
              <w:rPr>
                <w:rFonts w:ascii="Calibri" w:hAnsi="Calibri"/>
                <w:b w:val="0"/>
                <w:color w:val="243746"/>
                <w:sz w:val="17"/>
              </w:rPr>
              <w:t>scope</w:t>
            </w:r>
          </w:p>
        </w:tc>
        <w:tc>
          <w:tcPr>
            <w:tcW w:type="dxa" w:w="8280"/>
            <w:vAlign w:val="center"/>
          </w:tcPr>
          <w:p>
            <w:pPr>
              <w:spacing w:after="20"/>
            </w:pPr>
            <w:r/>
            <w:r>
              <w:rPr>
                <w:rFonts w:ascii="Calibri" w:hAnsi="Calibri"/>
                <w:b w:val="0"/>
                <w:color w:val="243746"/>
                <w:sz w:val="17"/>
              </w:rPr>
              <w:t>Markets, languages, product categories and snapshot date covered</w:t>
            </w:r>
          </w:p>
        </w:tc>
      </w:tr>
      <w:tr>
        <w:tc>
          <w:tcPr>
            <w:tcW w:type="dxa" w:w="2088"/>
            <w:vAlign w:val="center"/>
            <w:shd w:fill="F3F6F8"/>
          </w:tcPr>
          <w:p>
            <w:pPr>
              <w:spacing w:after="20"/>
            </w:pPr>
            <w:r/>
            <w:r>
              <w:rPr>
                <w:rFonts w:ascii="Calibri" w:hAnsi="Calibri"/>
                <w:b w:val="0"/>
                <w:color w:val="243746"/>
                <w:sz w:val="17"/>
              </w:rPr>
              <w:t>limitations</w:t>
            </w:r>
          </w:p>
        </w:tc>
        <w:tc>
          <w:tcPr>
            <w:tcW w:type="dxa" w:w="8280"/>
            <w:vAlign w:val="center"/>
            <w:shd w:fill="F3F6F8"/>
          </w:tcPr>
          <w:p>
            <w:pPr>
              <w:spacing w:after="20"/>
            </w:pPr>
            <w:r/>
            <w:r>
              <w:rPr>
                <w:rFonts w:ascii="Calibri" w:hAnsi="Calibri"/>
                <w:b w:val="0"/>
                <w:color w:val="243746"/>
                <w:sz w:val="17"/>
              </w:rPr>
              <w:t>Known missingness, volunteer coverage, duplicates and field semantics</w:t>
            </w:r>
          </w:p>
        </w:tc>
      </w:tr>
    </w:tbl>
    <w:p>
      <w:pPr>
        <w:spacing w:after="20"/>
      </w:pPr>
    </w:p>
    <w:p>
      <w:pPr>
        <w:pStyle w:val="Heading2"/>
        <w:keepNext/>
      </w:pPr>
      <w:r>
        <w:t>2.4 Privacy, licensing and ethics</w:t>
      </w:r>
    </w:p>
    <w:p>
      <w:pPr>
        <w:spacing w:after="100"/>
      </w:pPr>
      <w:r>
        <w:t>This project is intentionally product-level and excludes reviewer names, account IDs, contact information, free-text personal stories and any inferred sensitive attributes. Public availability does not automatically mean unrestricted reuse. Honor source attribution/share-alike terms, publisher/API conditions and applicable privacy rules. Ingredient and product labels may vary by country and date; retain source wording alongside normalized fields and avoid presenting a catalog entry as verified regulatory truth.</w:t>
      </w:r>
    </w:p>
    <w:p>
      <w:pPr>
        <w:pStyle w:val="Heading1"/>
        <w:keepNext/>
      </w:pPr>
      <w:r>
        <w:t>3. Beauty &amp; wellness data risks and quality dimensions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76"/>
            <w:vAlign w:val="center"/>
            <w:shd w:fill="17365D"/>
          </w:tcPr>
          <w:p>
            <w:pPr>
              <w:spacing w:after="20"/>
            </w:pPr>
            <w:r/>
            <w:r>
              <w:rPr>
                <w:rFonts w:ascii="Calibri" w:hAnsi="Calibri"/>
                <w:b/>
                <w:color w:val="FFFFFF"/>
                <w:sz w:val="16"/>
              </w:rPr>
              <w:t>RISK / EXAMPLE</w:t>
            </w:r>
          </w:p>
        </w:tc>
        <w:tc>
          <w:tcPr>
            <w:tcW w:type="dxa" w:w="3528"/>
            <w:vAlign w:val="center"/>
            <w:shd w:fill="17365D"/>
          </w:tcPr>
          <w:p>
            <w:pPr>
              <w:spacing w:after="20"/>
            </w:pPr>
            <w:r/>
            <w:r>
              <w:rPr>
                <w:rFonts w:ascii="Calibri" w:hAnsi="Calibri"/>
                <w:b/>
                <w:color w:val="FFFFFF"/>
                <w:sz w:val="16"/>
              </w:rPr>
              <w:t>WHY IT MATTERS</w:t>
            </w:r>
          </w:p>
        </w:tc>
        <w:tc>
          <w:tcPr>
            <w:tcW w:type="dxa" w:w="4464"/>
            <w:vAlign w:val="center"/>
            <w:shd w:fill="17365D"/>
          </w:tcPr>
          <w:p>
            <w:pPr>
              <w:spacing w:after="20"/>
            </w:pPr>
            <w:r/>
            <w:r>
              <w:rPr>
                <w:rFonts w:ascii="Calibri" w:hAnsi="Calibri"/>
                <w:b/>
                <w:color w:val="FFFFFF"/>
                <w:sz w:val="16"/>
              </w:rPr>
              <w:t>DETECTION OR CONTROL</w:t>
            </w:r>
          </w:p>
        </w:tc>
      </w:tr>
      <w:tr>
        <w:tc>
          <w:tcPr>
            <w:tcW w:type="dxa" w:w="2376"/>
            <w:vAlign w:val="center"/>
          </w:tcPr>
          <w:p>
            <w:pPr>
              <w:spacing w:after="20"/>
            </w:pPr>
            <w:r/>
            <w:r>
              <w:rPr>
                <w:rFonts w:ascii="Calibri" w:hAnsi="Calibri"/>
                <w:b w:val="0"/>
                <w:color w:val="243746"/>
                <w:sz w:val="16"/>
              </w:rPr>
              <w:t>Variant collisions: same brand/product name, different size or formula</w:t>
            </w:r>
          </w:p>
        </w:tc>
        <w:tc>
          <w:tcPr>
            <w:tcW w:type="dxa" w:w="3528"/>
            <w:vAlign w:val="center"/>
          </w:tcPr>
          <w:p>
            <w:pPr>
              <w:spacing w:after="20"/>
            </w:pPr>
            <w:r/>
            <w:r>
              <w:rPr>
                <w:rFonts w:ascii="Calibri" w:hAnsi="Calibri"/>
                <w:b w:val="0"/>
                <w:color w:val="243746"/>
                <w:sz w:val="16"/>
              </w:rPr>
              <w:t>False deduplication biases counts and price comparisons.</w:t>
            </w:r>
          </w:p>
        </w:tc>
        <w:tc>
          <w:tcPr>
            <w:tcW w:type="dxa" w:w="4464"/>
            <w:vAlign w:val="center"/>
          </w:tcPr>
          <w:p>
            <w:pPr>
              <w:spacing w:after="20"/>
            </w:pPr>
            <w:r/>
            <w:r>
              <w:rPr>
                <w:rFonts w:ascii="Calibri" w:hAnsi="Calibri"/>
                <w:b w:val="0"/>
                <w:color w:val="243746"/>
                <w:sz w:val="16"/>
              </w:rPr>
              <w:t>Use barcode/source ID plus normalized variant attributes; review conflicting key groups.</w:t>
            </w:r>
          </w:p>
        </w:tc>
      </w:tr>
      <w:tr>
        <w:tc>
          <w:tcPr>
            <w:tcW w:type="dxa" w:w="2376"/>
            <w:vAlign w:val="center"/>
            <w:shd w:fill="F3F6F8"/>
          </w:tcPr>
          <w:p>
            <w:pPr>
              <w:spacing w:after="20"/>
            </w:pPr>
            <w:r/>
            <w:r>
              <w:rPr>
                <w:rFonts w:ascii="Calibri" w:hAnsi="Calibri"/>
                <w:b w:val="0"/>
                <w:color w:val="243746"/>
                <w:sz w:val="16"/>
              </w:rPr>
              <w:t>Multilingual labels, spelling and synonyms</w:t>
            </w:r>
          </w:p>
        </w:tc>
        <w:tc>
          <w:tcPr>
            <w:tcW w:type="dxa" w:w="3528"/>
            <w:vAlign w:val="center"/>
            <w:shd w:fill="F3F6F8"/>
          </w:tcPr>
          <w:p>
            <w:pPr>
              <w:spacing w:after="20"/>
            </w:pPr>
            <w:r/>
            <w:r>
              <w:rPr>
                <w:rFonts w:ascii="Calibri" w:hAnsi="Calibri"/>
                <w:b w:val="0"/>
                <w:color w:val="243746"/>
                <w:sz w:val="16"/>
              </w:rPr>
              <w:t>Ingredient/category counts split across equivalent strings.</w:t>
            </w:r>
          </w:p>
        </w:tc>
        <w:tc>
          <w:tcPr>
            <w:tcW w:type="dxa" w:w="4464"/>
            <w:vAlign w:val="center"/>
            <w:shd w:fill="F3F6F8"/>
          </w:tcPr>
          <w:p>
            <w:pPr>
              <w:spacing w:after="20"/>
            </w:pPr>
            <w:r/>
            <w:r>
              <w:rPr>
                <w:rFonts w:ascii="Calibri" w:hAnsi="Calibri"/>
                <w:b w:val="0"/>
                <w:color w:val="243746"/>
                <w:sz w:val="16"/>
              </w:rPr>
              <w:t>Preserve raw text; normalize whitespace/case; use controlled mappings with review.</w:t>
            </w:r>
          </w:p>
        </w:tc>
      </w:tr>
      <w:tr>
        <w:tc>
          <w:tcPr>
            <w:tcW w:type="dxa" w:w="2376"/>
            <w:vAlign w:val="center"/>
          </w:tcPr>
          <w:p>
            <w:pPr>
              <w:spacing w:after="20"/>
            </w:pPr>
            <w:r/>
            <w:r>
              <w:rPr>
                <w:rFonts w:ascii="Calibri" w:hAnsi="Calibri"/>
                <w:b w:val="0"/>
                <w:color w:val="243746"/>
                <w:sz w:val="16"/>
              </w:rPr>
              <w:t>INCI lists as one ordered string</w:t>
            </w:r>
          </w:p>
        </w:tc>
        <w:tc>
          <w:tcPr>
            <w:tcW w:type="dxa" w:w="3528"/>
            <w:vAlign w:val="center"/>
          </w:tcPr>
          <w:p>
            <w:pPr>
              <w:spacing w:after="20"/>
            </w:pPr>
            <w:r/>
            <w:r>
              <w:rPr>
                <w:rFonts w:ascii="Calibri" w:hAnsi="Calibri"/>
                <w:b w:val="0"/>
                <w:color w:val="243746"/>
                <w:sz w:val="16"/>
              </w:rPr>
              <w:t>Tokenization can mishandle parentheses, blends and locale punctuation.</w:t>
            </w:r>
          </w:p>
        </w:tc>
        <w:tc>
          <w:tcPr>
            <w:tcW w:type="dxa" w:w="4464"/>
            <w:vAlign w:val="center"/>
          </w:tcPr>
          <w:p>
            <w:pPr>
              <w:spacing w:after="20"/>
            </w:pPr>
            <w:r/>
            <w:r>
              <w:rPr>
                <w:rFonts w:ascii="Calibri" w:hAnsi="Calibri"/>
                <w:b w:val="0"/>
                <w:color w:val="243746"/>
                <w:sz w:val="16"/>
              </w:rPr>
              <w:t>Retain original list; parse only with a documented delimiter grammar; validate samples.</w:t>
            </w:r>
          </w:p>
        </w:tc>
      </w:tr>
      <w:tr>
        <w:tc>
          <w:tcPr>
            <w:tcW w:type="dxa" w:w="2376"/>
            <w:vAlign w:val="center"/>
            <w:shd w:fill="F3F6F8"/>
          </w:tcPr>
          <w:p>
            <w:pPr>
              <w:spacing w:after="20"/>
            </w:pPr>
            <w:r/>
            <w:r>
              <w:rPr>
                <w:rFonts w:ascii="Calibri" w:hAnsi="Calibri"/>
                <w:b w:val="0"/>
                <w:color w:val="243746"/>
                <w:sz w:val="16"/>
              </w:rPr>
              <w:t>Units and package types: ml, mL, g, fl oz, multipacks</w:t>
            </w:r>
          </w:p>
        </w:tc>
        <w:tc>
          <w:tcPr>
            <w:tcW w:type="dxa" w:w="3528"/>
            <w:vAlign w:val="center"/>
            <w:shd w:fill="F3F6F8"/>
          </w:tcPr>
          <w:p>
            <w:pPr>
              <w:spacing w:after="20"/>
            </w:pPr>
            <w:r/>
            <w:r>
              <w:rPr>
                <w:rFonts w:ascii="Calibri" w:hAnsi="Calibri"/>
                <w:b w:val="0"/>
                <w:color w:val="243746"/>
                <w:sz w:val="16"/>
              </w:rPr>
              <w:t>Raw size comparisons are invalid; volume and mass are not interchangeable.</w:t>
            </w:r>
          </w:p>
        </w:tc>
        <w:tc>
          <w:tcPr>
            <w:tcW w:type="dxa" w:w="4464"/>
            <w:vAlign w:val="center"/>
            <w:shd w:fill="F3F6F8"/>
          </w:tcPr>
          <w:p>
            <w:pPr>
              <w:spacing w:after="20"/>
            </w:pPr>
            <w:r/>
            <w:r>
              <w:rPr>
                <w:rFonts w:ascii="Calibri" w:hAnsi="Calibri"/>
                <w:b w:val="0"/>
                <w:color w:val="243746"/>
                <w:sz w:val="16"/>
              </w:rPr>
              <w:t>Parse number + unit + package count; convert only within compatible dimensions.</w:t>
            </w:r>
          </w:p>
        </w:tc>
      </w:tr>
      <w:tr>
        <w:tc>
          <w:tcPr>
            <w:tcW w:type="dxa" w:w="2376"/>
            <w:vAlign w:val="center"/>
          </w:tcPr>
          <w:p>
            <w:pPr>
              <w:spacing w:after="20"/>
            </w:pPr>
            <w:r/>
            <w:r>
              <w:rPr>
                <w:rFonts w:ascii="Calibri" w:hAnsi="Calibri"/>
                <w:b w:val="0"/>
                <w:color w:val="243746"/>
                <w:sz w:val="16"/>
              </w:rPr>
              <w:t>Price currency, decimal and promotional formats</w:t>
            </w:r>
          </w:p>
        </w:tc>
        <w:tc>
          <w:tcPr>
            <w:tcW w:type="dxa" w:w="3528"/>
            <w:vAlign w:val="center"/>
          </w:tcPr>
          <w:p>
            <w:pPr>
              <w:spacing w:after="20"/>
            </w:pPr>
            <w:r/>
            <w:r>
              <w:rPr>
                <w:rFonts w:ascii="Calibri" w:hAnsi="Calibri"/>
                <w:b w:val="0"/>
                <w:color w:val="243746"/>
                <w:sz w:val="16"/>
              </w:rPr>
              <w:t>A value like “1,299” has locale-dependent meaning.</w:t>
            </w:r>
          </w:p>
        </w:tc>
        <w:tc>
          <w:tcPr>
            <w:tcW w:type="dxa" w:w="4464"/>
            <w:vAlign w:val="center"/>
          </w:tcPr>
          <w:p>
            <w:pPr>
              <w:spacing w:after="20"/>
            </w:pPr>
            <w:r/>
            <w:r>
              <w:rPr>
                <w:rFonts w:ascii="Calibri" w:hAnsi="Calibri"/>
                <w:b w:val="0"/>
                <w:color w:val="243746"/>
                <w:sz w:val="16"/>
              </w:rPr>
              <w:t>Keep currency explicit; parse with known locale; reject ambiguous strings for review.</w:t>
            </w:r>
          </w:p>
        </w:tc>
      </w:tr>
      <w:tr>
        <w:tc>
          <w:tcPr>
            <w:tcW w:type="dxa" w:w="2376"/>
            <w:vAlign w:val="center"/>
            <w:shd w:fill="F3F6F8"/>
          </w:tcPr>
          <w:p>
            <w:pPr>
              <w:spacing w:after="20"/>
            </w:pPr>
            <w:r/>
            <w:r>
              <w:rPr>
                <w:rFonts w:ascii="Calibri" w:hAnsi="Calibri"/>
                <w:b w:val="0"/>
                <w:color w:val="243746"/>
                <w:sz w:val="16"/>
              </w:rPr>
              <w:t>Ratings on different scales or missing reviews</w:t>
            </w:r>
          </w:p>
        </w:tc>
        <w:tc>
          <w:tcPr>
            <w:tcW w:type="dxa" w:w="3528"/>
            <w:vAlign w:val="center"/>
            <w:shd w:fill="F3F6F8"/>
          </w:tcPr>
          <w:p>
            <w:pPr>
              <w:spacing w:after="20"/>
            </w:pPr>
            <w:r/>
            <w:r>
              <w:rPr>
                <w:rFonts w:ascii="Calibri" w:hAnsi="Calibri"/>
                <w:b w:val="0"/>
                <w:color w:val="243746"/>
                <w:sz w:val="16"/>
              </w:rPr>
              <w:t>Ratings are not comparable across scales; no reviews is not zero stars.</w:t>
            </w:r>
          </w:p>
        </w:tc>
        <w:tc>
          <w:tcPr>
            <w:tcW w:type="dxa" w:w="4464"/>
            <w:vAlign w:val="center"/>
            <w:shd w:fill="F3F6F8"/>
          </w:tcPr>
          <w:p>
            <w:pPr>
              <w:spacing w:after="20"/>
            </w:pPr>
            <w:r/>
            <w:r>
              <w:rPr>
                <w:rFonts w:ascii="Calibri" w:hAnsi="Calibri"/>
                <w:b w:val="0"/>
                <w:color w:val="243746"/>
                <w:sz w:val="16"/>
              </w:rPr>
              <w:t>Confirm scale and aggregation semantics; validate bounds; keep review_count separate.</w:t>
            </w:r>
          </w:p>
        </w:tc>
      </w:tr>
      <w:tr>
        <w:tc>
          <w:tcPr>
            <w:tcW w:type="dxa" w:w="2376"/>
            <w:vAlign w:val="center"/>
          </w:tcPr>
          <w:p>
            <w:pPr>
              <w:spacing w:after="20"/>
            </w:pPr>
            <w:r/>
            <w:r>
              <w:rPr>
                <w:rFonts w:ascii="Calibri" w:hAnsi="Calibri"/>
                <w:b w:val="0"/>
                <w:color w:val="243746"/>
                <w:sz w:val="16"/>
              </w:rPr>
              <w:t>Outlier prices/ratings/counts</w:t>
            </w:r>
          </w:p>
        </w:tc>
        <w:tc>
          <w:tcPr>
            <w:tcW w:type="dxa" w:w="3528"/>
            <w:vAlign w:val="center"/>
          </w:tcPr>
          <w:p>
            <w:pPr>
              <w:spacing w:after="20"/>
            </w:pPr>
            <w:r/>
            <w:r>
              <w:rPr>
                <w:rFonts w:ascii="Calibri" w:hAnsi="Calibri"/>
                <w:b w:val="0"/>
                <w:color w:val="243746"/>
                <w:sz w:val="16"/>
              </w:rPr>
              <w:t>Errors and genuine premium/popular products both occur.</w:t>
            </w:r>
          </w:p>
        </w:tc>
        <w:tc>
          <w:tcPr>
            <w:tcW w:type="dxa" w:w="4464"/>
            <w:vAlign w:val="center"/>
          </w:tcPr>
          <w:p>
            <w:pPr>
              <w:spacing w:after="20"/>
            </w:pPr>
            <w:r/>
            <w:r>
              <w:rPr>
                <w:rFonts w:ascii="Calibri" w:hAnsi="Calibri"/>
                <w:b w:val="0"/>
                <w:color w:val="243746"/>
                <w:sz w:val="16"/>
              </w:rPr>
              <w:t>Use domain checks + robust flags; investigate before removal or capping.</w:t>
            </w:r>
          </w:p>
        </w:tc>
      </w:tr>
      <w:tr>
        <w:tc>
          <w:tcPr>
            <w:tcW w:type="dxa" w:w="2376"/>
            <w:vAlign w:val="center"/>
            <w:shd w:fill="F3F6F8"/>
          </w:tcPr>
          <w:p>
            <w:pPr>
              <w:spacing w:after="20"/>
            </w:pPr>
            <w:r/>
            <w:r>
              <w:rPr>
                <w:rFonts w:ascii="Calibri" w:hAnsi="Calibri"/>
                <w:b w:val="0"/>
                <w:color w:val="243746"/>
                <w:sz w:val="16"/>
              </w:rPr>
              <w:t>Community contribution and survivorship bias</w:t>
            </w:r>
          </w:p>
        </w:tc>
        <w:tc>
          <w:tcPr>
            <w:tcW w:type="dxa" w:w="3528"/>
            <w:vAlign w:val="center"/>
            <w:shd w:fill="F3F6F8"/>
          </w:tcPr>
          <w:p>
            <w:pPr>
              <w:spacing w:after="20"/>
            </w:pPr>
            <w:r/>
            <w:r>
              <w:rPr>
                <w:rFonts w:ascii="Calibri" w:hAnsi="Calibri"/>
                <w:b w:val="0"/>
                <w:color w:val="243746"/>
                <w:sz w:val="16"/>
              </w:rPr>
              <w:t>Popular, newer or region-specific products may be overrepresented.</w:t>
            </w:r>
          </w:p>
        </w:tc>
        <w:tc>
          <w:tcPr>
            <w:tcW w:type="dxa" w:w="4464"/>
            <w:vAlign w:val="center"/>
            <w:shd w:fill="F3F6F8"/>
          </w:tcPr>
          <w:p>
            <w:pPr>
              <w:spacing w:after="20"/>
            </w:pPr>
            <w:r/>
            <w:r>
              <w:rPr>
                <w:rFonts w:ascii="Calibri" w:hAnsi="Calibri"/>
                <w:b w:val="0"/>
                <w:color w:val="243746"/>
                <w:sz w:val="16"/>
              </w:rPr>
              <w:t>Describe frame and gaps; avoid population-wide claims; compare coverage where possible.</w:t>
            </w:r>
          </w:p>
        </w:tc>
      </w:tr>
      <w:tr>
        <w:tc>
          <w:tcPr>
            <w:tcW w:type="dxa" w:w="2376"/>
            <w:vAlign w:val="center"/>
          </w:tcPr>
          <w:p>
            <w:pPr>
              <w:spacing w:after="20"/>
            </w:pPr>
            <w:r/>
            <w:r>
              <w:rPr>
                <w:rFonts w:ascii="Calibri" w:hAnsi="Calibri"/>
                <w:b w:val="0"/>
                <w:color w:val="243746"/>
                <w:sz w:val="16"/>
              </w:rPr>
              <w:t>Reformulation and stale records</w:t>
            </w:r>
          </w:p>
        </w:tc>
        <w:tc>
          <w:tcPr>
            <w:tcW w:type="dxa" w:w="3528"/>
            <w:vAlign w:val="center"/>
          </w:tcPr>
          <w:p>
            <w:pPr>
              <w:spacing w:after="20"/>
            </w:pPr>
            <w:r/>
            <w:r>
              <w:rPr>
                <w:rFonts w:ascii="Calibri" w:hAnsi="Calibri"/>
                <w:b w:val="0"/>
                <w:color w:val="243746"/>
                <w:sz w:val="16"/>
              </w:rPr>
              <w:t>Ingredient lists can change while barcode/name remains similar.</w:t>
            </w:r>
          </w:p>
        </w:tc>
        <w:tc>
          <w:tcPr>
            <w:tcW w:type="dxa" w:w="4464"/>
            <w:vAlign w:val="center"/>
          </w:tcPr>
          <w:p>
            <w:pPr>
              <w:spacing w:after="20"/>
            </w:pPr>
            <w:r/>
            <w:r>
              <w:rPr>
                <w:rFonts w:ascii="Calibri" w:hAnsi="Calibri"/>
                <w:b w:val="0"/>
                <w:color w:val="243746"/>
                <w:sz w:val="16"/>
              </w:rPr>
              <w:t>Preserve observation date/version; do not assume current formulation from an old snapshot.</w:t>
            </w:r>
          </w:p>
        </w:tc>
      </w:tr>
      <w:tr>
        <w:tc>
          <w:tcPr>
            <w:tcW w:type="dxa" w:w="2376"/>
            <w:vAlign w:val="center"/>
            <w:shd w:fill="F3F6F8"/>
          </w:tcPr>
          <w:p>
            <w:pPr>
              <w:spacing w:after="20"/>
            </w:pPr>
            <w:r/>
            <w:r>
              <w:rPr>
                <w:rFonts w:ascii="Calibri" w:hAnsi="Calibri"/>
                <w:b w:val="0"/>
                <w:color w:val="243746"/>
                <w:sz w:val="16"/>
              </w:rPr>
              <w:t>Claims such as “natural”, “clean” or “hypoallergenic”</w:t>
            </w:r>
          </w:p>
        </w:tc>
        <w:tc>
          <w:tcPr>
            <w:tcW w:type="dxa" w:w="3528"/>
            <w:vAlign w:val="center"/>
            <w:shd w:fill="F3F6F8"/>
          </w:tcPr>
          <w:p>
            <w:pPr>
              <w:spacing w:after="20"/>
            </w:pPr>
            <w:r/>
            <w:r>
              <w:rPr>
                <w:rFonts w:ascii="Calibri" w:hAnsi="Calibri"/>
                <w:b w:val="0"/>
                <w:color w:val="243746"/>
                <w:sz w:val="16"/>
              </w:rPr>
              <w:t>Terms may be unstandardized and are not equivalent to measured outcomes.</w:t>
            </w:r>
          </w:p>
        </w:tc>
        <w:tc>
          <w:tcPr>
            <w:tcW w:type="dxa" w:w="4464"/>
            <w:vAlign w:val="center"/>
            <w:shd w:fill="F3F6F8"/>
          </w:tcPr>
          <w:p>
            <w:pPr>
              <w:spacing w:after="20"/>
            </w:pPr>
            <w:r/>
            <w:r>
              <w:rPr>
                <w:rFonts w:ascii="Calibri" w:hAnsi="Calibri"/>
                <w:b w:val="0"/>
                <w:color w:val="243746"/>
                <w:sz w:val="16"/>
              </w:rPr>
              <w:t>Do not convert marketing language into scientific labels without a validated definition.</w:t>
            </w:r>
          </w:p>
        </w:tc>
      </w:tr>
    </w:tbl>
    <w:p>
      <w:pPr>
        <w:spacing w:after="20"/>
      </w:pPr>
    </w:p>
    <w:p>
      <w:pPr>
        <w:pStyle w:val="Heading2"/>
        <w:keepNext/>
      </w:pPr>
      <w:r>
        <w:t>3.1 Quality dimensions to measure</w:t>
      </w:r>
    </w:p>
    <w:p>
      <w:pPr>
        <w:spacing w:after="100"/>
      </w:pPr>
      <w:r>
        <w:t>Measure completeness (present/expected), validity (conforms to declared type/domain), uniqueness (duplicate identity), consistency (compatible representations across fields), accuracy (agreement with authoritative evidence, if available), and timeliness (observation age). Validity is testable from the file; accuracy cannot be inferred merely because a value parses.</w:t>
      </w:r>
    </w:p>
    <w:p>
      <w:pPr>
        <w:pStyle w:val="Heading1"/>
        <w:keepNext/>
      </w:pPr>
      <w:r>
        <w:t>4. Dataset contract and field-level rules</w:t>
      </w:r>
    </w:p>
    <w:p>
      <w:pPr>
        <w:spacing w:after="100"/>
      </w:pPr>
      <w:r>
        <w:t>Before cleaning, create a data dictionary that specifies source field, canonical name, type, unit, allowed values, criticality, transformation and missing-value policy. Keep both raw and cleaned versions of fields when a transformation could lose meaning.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vAlign w:val="center"/>
            <w:shd w:fill="17365D"/>
          </w:tcPr>
          <w:p>
            <w:pPr>
              <w:spacing w:after="20"/>
            </w:pPr>
            <w:r/>
            <w:r>
              <w:rPr>
                <w:rFonts w:ascii="Calibri" w:hAnsi="Calibri"/>
                <w:b/>
                <w:color w:val="FFFFFF"/>
                <w:sz w:val="15"/>
              </w:rPr>
              <w:t>CANONICAL FIELD</w:t>
            </w:r>
          </w:p>
        </w:tc>
        <w:tc>
          <w:tcPr>
            <w:tcW w:type="dxa" w:w="3672"/>
            <w:vAlign w:val="center"/>
            <w:shd w:fill="17365D"/>
          </w:tcPr>
          <w:p>
            <w:pPr>
              <w:spacing w:after="20"/>
            </w:pPr>
            <w:r/>
            <w:r>
              <w:rPr>
                <w:rFonts w:ascii="Calibri" w:hAnsi="Calibri"/>
                <w:b/>
                <w:color w:val="FFFFFF"/>
                <w:sz w:val="15"/>
              </w:rPr>
              <w:t>TYPE / RULE</w:t>
            </w:r>
          </w:p>
        </w:tc>
        <w:tc>
          <w:tcPr>
            <w:tcW w:type="dxa" w:w="4536"/>
            <w:vAlign w:val="center"/>
            <w:shd w:fill="17365D"/>
          </w:tcPr>
          <w:p>
            <w:pPr>
              <w:spacing w:after="20"/>
            </w:pPr>
            <w:r/>
            <w:r>
              <w:rPr>
                <w:rFonts w:ascii="Calibri" w:hAnsi="Calibri"/>
                <w:b/>
                <w:color w:val="FFFFFF"/>
                <w:sz w:val="15"/>
              </w:rPr>
              <w:t>MISSING OR INVALID POLICY</w:t>
            </w:r>
          </w:p>
        </w:tc>
      </w:tr>
      <w:tr>
        <w:tc>
          <w:tcPr>
            <w:tcW w:type="dxa" w:w="2232"/>
            <w:vAlign w:val="center"/>
          </w:tcPr>
          <w:p>
            <w:pPr>
              <w:spacing w:after="20"/>
            </w:pPr>
            <w:r/>
            <w:r>
              <w:rPr>
                <w:rFonts w:ascii="Calibri" w:hAnsi="Calibri"/>
                <w:b w:val="0"/>
                <w:color w:val="243746"/>
                <w:sz w:val="15"/>
              </w:rPr>
              <w:t>source_record_id</w:t>
            </w:r>
          </w:p>
        </w:tc>
        <w:tc>
          <w:tcPr>
            <w:tcW w:type="dxa" w:w="3672"/>
            <w:vAlign w:val="center"/>
          </w:tcPr>
          <w:p>
            <w:pPr>
              <w:spacing w:after="20"/>
            </w:pPr>
            <w:r/>
            <w:r>
              <w:rPr>
                <w:rFonts w:ascii="Calibri" w:hAnsi="Calibri"/>
                <w:b w:val="0"/>
                <w:color w:val="243746"/>
                <w:sz w:val="15"/>
              </w:rPr>
              <w:t>String; stable within the source snapshot</w:t>
            </w:r>
          </w:p>
        </w:tc>
        <w:tc>
          <w:tcPr>
            <w:tcW w:type="dxa" w:w="4536"/>
            <w:vAlign w:val="center"/>
          </w:tcPr>
          <w:p>
            <w:pPr>
              <w:spacing w:after="20"/>
            </w:pPr>
            <w:r/>
            <w:r>
              <w:rPr>
                <w:rFonts w:ascii="Calibri" w:hAnsi="Calibri"/>
                <w:b w:val="0"/>
                <w:color w:val="243746"/>
                <w:sz w:val="15"/>
              </w:rPr>
              <w:t>Required. Missing/duplicate ID: quarantine; do not silently fabricate identity.</w:t>
            </w:r>
          </w:p>
        </w:tc>
      </w:tr>
      <w:tr>
        <w:tc>
          <w:tcPr>
            <w:tcW w:type="dxa" w:w="2232"/>
            <w:vAlign w:val="center"/>
            <w:shd w:fill="F3F6F8"/>
          </w:tcPr>
          <w:p>
            <w:pPr>
              <w:spacing w:after="20"/>
            </w:pPr>
            <w:r/>
            <w:r>
              <w:rPr>
                <w:rFonts w:ascii="Calibri" w:hAnsi="Calibri"/>
                <w:b w:val="0"/>
                <w:color w:val="243746"/>
                <w:sz w:val="15"/>
              </w:rPr>
              <w:t>barcode</w:t>
            </w:r>
          </w:p>
        </w:tc>
        <w:tc>
          <w:tcPr>
            <w:tcW w:type="dxa" w:w="3672"/>
            <w:vAlign w:val="center"/>
            <w:shd w:fill="F3F6F8"/>
          </w:tcPr>
          <w:p>
            <w:pPr>
              <w:spacing w:after="20"/>
            </w:pPr>
            <w:r/>
            <w:r>
              <w:rPr>
                <w:rFonts w:ascii="Calibri" w:hAnsi="Calibri"/>
                <w:b w:val="0"/>
                <w:color w:val="243746"/>
                <w:sz w:val="15"/>
              </w:rPr>
              <w:t>String; preserve leading zeros</w:t>
            </w:r>
          </w:p>
        </w:tc>
        <w:tc>
          <w:tcPr>
            <w:tcW w:type="dxa" w:w="4536"/>
            <w:vAlign w:val="center"/>
            <w:shd w:fill="F3F6F8"/>
          </w:tcPr>
          <w:p>
            <w:pPr>
              <w:spacing w:after="20"/>
            </w:pPr>
            <w:r/>
            <w:r>
              <w:rPr>
                <w:rFonts w:ascii="Calibri" w:hAnsi="Calibri"/>
                <w:b w:val="0"/>
                <w:color w:val="243746"/>
                <w:sz w:val="15"/>
              </w:rPr>
              <w:t>Optional; never parse as integer. Validate format only when source standard is known.</w:t>
            </w:r>
          </w:p>
        </w:tc>
      </w:tr>
      <w:tr>
        <w:tc>
          <w:tcPr>
            <w:tcW w:type="dxa" w:w="2232"/>
            <w:vAlign w:val="center"/>
          </w:tcPr>
          <w:p>
            <w:pPr>
              <w:spacing w:after="20"/>
            </w:pPr>
            <w:r/>
            <w:r>
              <w:rPr>
                <w:rFonts w:ascii="Calibri" w:hAnsi="Calibri"/>
                <w:b w:val="0"/>
                <w:color w:val="243746"/>
                <w:sz w:val="15"/>
              </w:rPr>
              <w:t>product_name</w:t>
            </w:r>
          </w:p>
        </w:tc>
        <w:tc>
          <w:tcPr>
            <w:tcW w:type="dxa" w:w="3672"/>
            <w:vAlign w:val="center"/>
          </w:tcPr>
          <w:p>
            <w:pPr>
              <w:spacing w:after="20"/>
            </w:pPr>
            <w:r/>
            <w:r>
              <w:rPr>
                <w:rFonts w:ascii="Calibri" w:hAnsi="Calibri"/>
                <w:b w:val="0"/>
                <w:color w:val="243746"/>
                <w:sz w:val="15"/>
              </w:rPr>
              <w:t>Trimmed Unicode text</w:t>
            </w:r>
          </w:p>
        </w:tc>
        <w:tc>
          <w:tcPr>
            <w:tcW w:type="dxa" w:w="4536"/>
            <w:vAlign w:val="center"/>
          </w:tcPr>
          <w:p>
            <w:pPr>
              <w:spacing w:after="20"/>
            </w:pPr>
            <w:r/>
            <w:r>
              <w:rPr>
                <w:rFonts w:ascii="Calibri" w:hAnsi="Calibri"/>
                <w:b w:val="0"/>
                <w:color w:val="243746"/>
                <w:sz w:val="15"/>
              </w:rPr>
              <w:t>Critical for human review and many analyses; missing -&gt; quarantine, not guessed.</w:t>
            </w:r>
          </w:p>
        </w:tc>
      </w:tr>
      <w:tr>
        <w:tc>
          <w:tcPr>
            <w:tcW w:type="dxa" w:w="2232"/>
            <w:vAlign w:val="center"/>
            <w:shd w:fill="F3F6F8"/>
          </w:tcPr>
          <w:p>
            <w:pPr>
              <w:spacing w:after="20"/>
            </w:pPr>
            <w:r/>
            <w:r>
              <w:rPr>
                <w:rFonts w:ascii="Calibri" w:hAnsi="Calibri"/>
                <w:b w:val="0"/>
                <w:color w:val="243746"/>
                <w:sz w:val="15"/>
              </w:rPr>
              <w:t>brand</w:t>
            </w:r>
          </w:p>
        </w:tc>
        <w:tc>
          <w:tcPr>
            <w:tcW w:type="dxa" w:w="3672"/>
            <w:vAlign w:val="center"/>
            <w:shd w:fill="F3F6F8"/>
          </w:tcPr>
          <w:p>
            <w:pPr>
              <w:spacing w:after="20"/>
            </w:pPr>
            <w:r/>
            <w:r>
              <w:rPr>
                <w:rFonts w:ascii="Calibri" w:hAnsi="Calibri"/>
                <w:b w:val="0"/>
                <w:color w:val="243746"/>
                <w:sz w:val="15"/>
              </w:rPr>
              <w:t>Trimmed text; controlled aliases only with evidence</w:t>
            </w:r>
          </w:p>
        </w:tc>
        <w:tc>
          <w:tcPr>
            <w:tcW w:type="dxa" w:w="4536"/>
            <w:vAlign w:val="center"/>
            <w:shd w:fill="F3F6F8"/>
          </w:tcPr>
          <w:p>
            <w:pPr>
              <w:spacing w:after="20"/>
            </w:pPr>
            <w:r/>
            <w:r>
              <w:rPr>
                <w:rFonts w:ascii="Calibri" w:hAnsi="Calibri"/>
                <w:b w:val="0"/>
                <w:color w:val="243746"/>
                <w:sz w:val="15"/>
              </w:rPr>
              <w:t>Unknown remains null/“not stated”; do not infer brand from product name.</w:t>
            </w:r>
          </w:p>
        </w:tc>
      </w:tr>
      <w:tr>
        <w:tc>
          <w:tcPr>
            <w:tcW w:type="dxa" w:w="2232"/>
            <w:vAlign w:val="center"/>
          </w:tcPr>
          <w:p>
            <w:pPr>
              <w:spacing w:after="20"/>
            </w:pPr>
            <w:r/>
            <w:r>
              <w:rPr>
                <w:rFonts w:ascii="Calibri" w:hAnsi="Calibri"/>
                <w:b w:val="0"/>
                <w:color w:val="243746"/>
                <w:sz w:val="15"/>
              </w:rPr>
              <w:t>category_raw / category</w:t>
            </w:r>
          </w:p>
        </w:tc>
        <w:tc>
          <w:tcPr>
            <w:tcW w:type="dxa" w:w="3672"/>
            <w:vAlign w:val="center"/>
          </w:tcPr>
          <w:p>
            <w:pPr>
              <w:spacing w:after="20"/>
            </w:pPr>
            <w:r/>
            <w:r>
              <w:rPr>
                <w:rFonts w:ascii="Calibri" w:hAnsi="Calibri"/>
                <w:b w:val="0"/>
                <w:color w:val="243746"/>
                <w:sz w:val="15"/>
              </w:rPr>
              <w:t>Raw text plus mapped broad category</w:t>
            </w:r>
          </w:p>
        </w:tc>
        <w:tc>
          <w:tcPr>
            <w:tcW w:type="dxa" w:w="4536"/>
            <w:vAlign w:val="center"/>
          </w:tcPr>
          <w:p>
            <w:pPr>
              <w:spacing w:after="20"/>
            </w:pPr>
            <w:r/>
            <w:r>
              <w:rPr>
                <w:rFonts w:ascii="Calibri" w:hAnsi="Calibri"/>
                <w:b w:val="0"/>
                <w:color w:val="243746"/>
                <w:sz w:val="15"/>
              </w:rPr>
              <w:t>Unmapped -&gt; “Other/Unmapped” plus mapping-review flag; don't discard raw value.</w:t>
            </w:r>
          </w:p>
        </w:tc>
      </w:tr>
      <w:tr>
        <w:tc>
          <w:tcPr>
            <w:tcW w:type="dxa" w:w="2232"/>
            <w:vAlign w:val="center"/>
            <w:shd w:fill="F3F6F8"/>
          </w:tcPr>
          <w:p>
            <w:pPr>
              <w:spacing w:after="20"/>
            </w:pPr>
            <w:r/>
            <w:r>
              <w:rPr>
                <w:rFonts w:ascii="Calibri" w:hAnsi="Calibri"/>
                <w:b w:val="0"/>
                <w:color w:val="243746"/>
                <w:sz w:val="15"/>
              </w:rPr>
              <w:t>ingredients_raw / ingredient_tokens</w:t>
            </w:r>
          </w:p>
        </w:tc>
        <w:tc>
          <w:tcPr>
            <w:tcW w:type="dxa" w:w="3672"/>
            <w:vAlign w:val="center"/>
            <w:shd w:fill="F3F6F8"/>
          </w:tcPr>
          <w:p>
            <w:pPr>
              <w:spacing w:after="20"/>
            </w:pPr>
            <w:r/>
            <w:r>
              <w:rPr>
                <w:rFonts w:ascii="Calibri" w:hAnsi="Calibri"/>
                <w:b w:val="0"/>
                <w:color w:val="243746"/>
                <w:sz w:val="15"/>
              </w:rPr>
              <w:t>Original ordered string plus optional parsed list</w:t>
            </w:r>
          </w:p>
        </w:tc>
        <w:tc>
          <w:tcPr>
            <w:tcW w:type="dxa" w:w="4536"/>
            <w:vAlign w:val="center"/>
            <w:shd w:fill="F3F6F8"/>
          </w:tcPr>
          <w:p>
            <w:pPr>
              <w:spacing w:after="20"/>
            </w:pPr>
            <w:r/>
            <w:r>
              <w:rPr>
                <w:rFonts w:ascii="Calibri" w:hAnsi="Calibri"/>
                <w:b w:val="0"/>
                <w:color w:val="243746"/>
                <w:sz w:val="15"/>
              </w:rPr>
              <w:t>Missing is unknown, not “ingredient-free”; do not insert a fabricated list.</w:t>
            </w:r>
          </w:p>
        </w:tc>
      </w:tr>
      <w:tr>
        <w:tc>
          <w:tcPr>
            <w:tcW w:type="dxa" w:w="2232"/>
            <w:vAlign w:val="center"/>
          </w:tcPr>
          <w:p>
            <w:pPr>
              <w:spacing w:after="20"/>
            </w:pPr>
            <w:r/>
            <w:r>
              <w:rPr>
                <w:rFonts w:ascii="Calibri" w:hAnsi="Calibri"/>
                <w:b w:val="0"/>
                <w:color w:val="243746"/>
                <w:sz w:val="15"/>
              </w:rPr>
              <w:t>size_value / size_unit</w:t>
            </w:r>
          </w:p>
        </w:tc>
        <w:tc>
          <w:tcPr>
            <w:tcW w:type="dxa" w:w="3672"/>
            <w:vAlign w:val="center"/>
          </w:tcPr>
          <w:p>
            <w:pPr>
              <w:spacing w:after="20"/>
            </w:pPr>
            <w:r/>
            <w:r>
              <w:rPr>
                <w:rFonts w:ascii="Calibri" w:hAnsi="Calibri"/>
                <w:b w:val="0"/>
                <w:color w:val="243746"/>
                <w:sz w:val="15"/>
              </w:rPr>
              <w:t>Positive number and unit (mL, L, g, kg, count)</w:t>
            </w:r>
          </w:p>
        </w:tc>
        <w:tc>
          <w:tcPr>
            <w:tcW w:type="dxa" w:w="4536"/>
            <w:vAlign w:val="center"/>
          </w:tcPr>
          <w:p>
            <w:pPr>
              <w:spacing w:after="20"/>
            </w:pPr>
            <w:r/>
            <w:r>
              <w:rPr>
                <w:rFonts w:ascii="Calibri" w:hAnsi="Calibri"/>
                <w:b w:val="0"/>
                <w:color w:val="243746"/>
                <w:sz w:val="15"/>
              </w:rPr>
              <w:t>Non-positive or ambiguous -&gt; null + issue flag; no g-to-mL conversion without density.</w:t>
            </w:r>
          </w:p>
        </w:tc>
      </w:tr>
      <w:tr>
        <w:tc>
          <w:tcPr>
            <w:tcW w:type="dxa" w:w="2232"/>
            <w:vAlign w:val="center"/>
            <w:shd w:fill="F3F6F8"/>
          </w:tcPr>
          <w:p>
            <w:pPr>
              <w:spacing w:after="20"/>
            </w:pPr>
            <w:r/>
            <w:r>
              <w:rPr>
                <w:rFonts w:ascii="Calibri" w:hAnsi="Calibri"/>
                <w:b w:val="0"/>
                <w:color w:val="243746"/>
                <w:sz w:val="15"/>
              </w:rPr>
              <w:t>price_value / currency</w:t>
            </w:r>
          </w:p>
        </w:tc>
        <w:tc>
          <w:tcPr>
            <w:tcW w:type="dxa" w:w="3672"/>
            <w:vAlign w:val="center"/>
            <w:shd w:fill="F3F6F8"/>
          </w:tcPr>
          <w:p>
            <w:pPr>
              <w:spacing w:after="20"/>
            </w:pPr>
            <w:r/>
            <w:r>
              <w:rPr>
                <w:rFonts w:ascii="Calibri" w:hAnsi="Calibri"/>
                <w:b w:val="0"/>
                <w:color w:val="243746"/>
                <w:sz w:val="15"/>
              </w:rPr>
              <w:t>Decimal amount plus ISO currency where confirmed</w:t>
            </w:r>
          </w:p>
        </w:tc>
        <w:tc>
          <w:tcPr>
            <w:tcW w:type="dxa" w:w="4536"/>
            <w:vAlign w:val="center"/>
            <w:shd w:fill="F3F6F8"/>
          </w:tcPr>
          <w:p>
            <w:pPr>
              <w:spacing w:after="20"/>
            </w:pPr>
            <w:r/>
            <w:r>
              <w:rPr>
                <w:rFonts w:ascii="Calibri" w:hAnsi="Calibri"/>
                <w:b w:val="0"/>
                <w:color w:val="243746"/>
                <w:sz w:val="15"/>
              </w:rPr>
              <w:t>Negative/ambiguous -&gt; null + issue flag; do not compare currencies without FX date/rate.</w:t>
            </w:r>
          </w:p>
        </w:tc>
      </w:tr>
      <w:tr>
        <w:tc>
          <w:tcPr>
            <w:tcW w:type="dxa" w:w="2232"/>
            <w:vAlign w:val="center"/>
          </w:tcPr>
          <w:p>
            <w:pPr>
              <w:spacing w:after="20"/>
            </w:pPr>
            <w:r/>
            <w:r>
              <w:rPr>
                <w:rFonts w:ascii="Calibri" w:hAnsi="Calibri"/>
                <w:b w:val="0"/>
                <w:color w:val="243746"/>
                <w:sz w:val="15"/>
              </w:rPr>
              <w:t>rating</w:t>
            </w:r>
          </w:p>
        </w:tc>
        <w:tc>
          <w:tcPr>
            <w:tcW w:type="dxa" w:w="3672"/>
            <w:vAlign w:val="center"/>
          </w:tcPr>
          <w:p>
            <w:pPr>
              <w:spacing w:after="20"/>
            </w:pPr>
            <w:r/>
            <w:r>
              <w:rPr>
                <w:rFonts w:ascii="Calibri" w:hAnsi="Calibri"/>
                <w:b w:val="0"/>
                <w:color w:val="243746"/>
                <w:sz w:val="15"/>
              </w:rPr>
              <w:t>Numeric; source scale documented (example 1–5)</w:t>
            </w:r>
          </w:p>
        </w:tc>
        <w:tc>
          <w:tcPr>
            <w:tcW w:type="dxa" w:w="4536"/>
            <w:vAlign w:val="center"/>
          </w:tcPr>
          <w:p>
            <w:pPr>
              <w:spacing w:after="20"/>
            </w:pPr>
            <w:r/>
            <w:r>
              <w:rPr>
                <w:rFonts w:ascii="Calibri" w:hAnsi="Calibri"/>
                <w:b w:val="0"/>
                <w:color w:val="243746"/>
                <w:sz w:val="15"/>
              </w:rPr>
              <w:t>Outside confirmed scale -&gt; null + invalid flag; blank remains missing.</w:t>
            </w:r>
          </w:p>
        </w:tc>
      </w:tr>
      <w:tr>
        <w:tc>
          <w:tcPr>
            <w:tcW w:type="dxa" w:w="2232"/>
            <w:vAlign w:val="center"/>
            <w:shd w:fill="F3F6F8"/>
          </w:tcPr>
          <w:p>
            <w:pPr>
              <w:spacing w:after="20"/>
            </w:pPr>
            <w:r/>
            <w:r>
              <w:rPr>
                <w:rFonts w:ascii="Calibri" w:hAnsi="Calibri"/>
                <w:b w:val="0"/>
                <w:color w:val="243746"/>
                <w:sz w:val="15"/>
              </w:rPr>
              <w:t>review_count</w:t>
            </w:r>
          </w:p>
        </w:tc>
        <w:tc>
          <w:tcPr>
            <w:tcW w:type="dxa" w:w="3672"/>
            <w:vAlign w:val="center"/>
            <w:shd w:fill="F3F6F8"/>
          </w:tcPr>
          <w:p>
            <w:pPr>
              <w:spacing w:after="20"/>
            </w:pPr>
            <w:r/>
            <w:r>
              <w:rPr>
                <w:rFonts w:ascii="Calibri" w:hAnsi="Calibri"/>
                <w:b w:val="0"/>
                <w:color w:val="243746"/>
                <w:sz w:val="15"/>
              </w:rPr>
              <w:t>Non-negative integer</w:t>
            </w:r>
          </w:p>
        </w:tc>
        <w:tc>
          <w:tcPr>
            <w:tcW w:type="dxa" w:w="4536"/>
            <w:vAlign w:val="center"/>
            <w:shd w:fill="F3F6F8"/>
          </w:tcPr>
          <w:p>
            <w:pPr>
              <w:spacing w:after="20"/>
            </w:pPr>
            <w:r/>
            <w:r>
              <w:rPr>
                <w:rFonts w:ascii="Calibri" w:hAnsi="Calibri"/>
                <w:b w:val="0"/>
                <w:color w:val="243746"/>
                <w:sz w:val="15"/>
              </w:rPr>
              <w:t>Parse separators by locale; negative/non-integral -&gt; null + invalid flag.</w:t>
            </w:r>
          </w:p>
        </w:tc>
      </w:tr>
      <w:tr>
        <w:tc>
          <w:tcPr>
            <w:tcW w:type="dxa" w:w="2232"/>
            <w:vAlign w:val="center"/>
          </w:tcPr>
          <w:p>
            <w:pPr>
              <w:spacing w:after="20"/>
            </w:pPr>
            <w:r/>
            <w:r>
              <w:rPr>
                <w:rFonts w:ascii="Calibri" w:hAnsi="Calibri"/>
                <w:b w:val="0"/>
                <w:color w:val="243746"/>
                <w:sz w:val="15"/>
              </w:rPr>
              <w:t>snapshot_date</w:t>
            </w:r>
          </w:p>
        </w:tc>
        <w:tc>
          <w:tcPr>
            <w:tcW w:type="dxa" w:w="3672"/>
            <w:vAlign w:val="center"/>
          </w:tcPr>
          <w:p>
            <w:pPr>
              <w:spacing w:after="20"/>
            </w:pPr>
            <w:r/>
            <w:r>
              <w:rPr>
                <w:rFonts w:ascii="Calibri" w:hAnsi="Calibri"/>
                <w:b w:val="0"/>
                <w:color w:val="243746"/>
                <w:sz w:val="15"/>
              </w:rPr>
              <w:t>ISO date; unambiguous timezone/source semantics</w:t>
            </w:r>
          </w:p>
        </w:tc>
        <w:tc>
          <w:tcPr>
            <w:tcW w:type="dxa" w:w="4536"/>
            <w:vAlign w:val="center"/>
          </w:tcPr>
          <w:p>
            <w:pPr>
              <w:spacing w:after="20"/>
            </w:pPr>
            <w:r/>
            <w:r>
              <w:rPr>
                <w:rFonts w:ascii="Calibri" w:hAnsi="Calibri"/>
                <w:b w:val="0"/>
                <w:color w:val="243746"/>
                <w:sz w:val="15"/>
              </w:rPr>
              <w:t>Unknown/ambiguous -&gt; null and exclusion from time-based trend.</w:t>
            </w:r>
          </w:p>
        </w:tc>
      </w:tr>
    </w:tbl>
    <w:p>
      <w:pPr>
        <w:spacing w:after="20"/>
      </w:pPr>
    </w:p>
    <w:p>
      <w:pPr>
        <w:pStyle w:val="Heading2"/>
        <w:keepNext/>
      </w:pPr>
      <w:r>
        <w:t>4.1 Missing-data policy by analytical use</w:t>
      </w:r>
    </w:p>
    <w:p>
      <w:pPr>
        <w:pStyle w:val="ListBullet"/>
        <w:spacing w:after="40"/>
      </w:pPr>
      <w:r>
        <w:t>Do not globally drop every incomplete row. Exclude only records failing a documented minimum identity/analysis requirement; count and retain excluded rows in a quarantine report.</w:t>
      </w:r>
    </w:p>
    <w:p>
      <w:pPr>
        <w:pStyle w:val="ListBullet"/>
        <w:spacing w:after="40"/>
      </w:pPr>
      <w:r>
        <w:t>For descriptive ingredient coverage, missing ingredient list is an explicit “unknown/unreported” state. Do not call it empty or ingredient-free.</w:t>
      </w:r>
    </w:p>
    <w:p>
      <w:pPr>
        <w:pStyle w:val="ListBullet"/>
        <w:spacing w:after="40"/>
      </w:pPr>
      <w:r>
        <w:t>For a rating analysis, omit missing/invalid ratings from the rating statistic and report the denominator and missingness rate. Keep review count available separately.</w:t>
      </w:r>
    </w:p>
    <w:p>
      <w:pPr>
        <w:pStyle w:val="ListBullet"/>
        <w:spacing w:after="40"/>
      </w:pPr>
      <w:r>
        <w:t>For supervised learning, impute numeric predictors with a training-fold median (and optionally a missingness indicator); categorical values with a training-fold most-frequent or explicit “Unknown” level. Do not impute the target label.</w:t>
      </w:r>
    </w:p>
    <w:p>
      <w:pPr>
        <w:pStyle w:val="ListBullet"/>
        <w:spacing w:after="40"/>
      </w:pPr>
      <w:r>
        <w:t>Avoid mean-imputing heavily skewed prices or counts; investigate whether missingness depends on category/source/time before selecting an approach.</w:t>
      </w:r>
    </w:p>
    <w:p>
      <w:pPr>
        <w:pStyle w:val="Heading1"/>
        <w:keepNext/>
      </w:pPr>
      <w:r>
        <w:t>5. Exploratory data analysis and quality assessment</w:t>
      </w:r>
    </w:p>
    <w:p>
      <w:pPr>
        <w:pStyle w:val="Heading2"/>
        <w:keepNext/>
      </w:pPr>
      <w:r>
        <w:t>5.1 First-pass checks (before modifying data)</w:t>
      </w:r>
    </w:p>
    <w:p>
      <w:pPr>
        <w:pStyle w:val="ListNumber"/>
        <w:spacing w:after="60"/>
      </w:pPr>
      <w:r>
        <w:t>Load a bounded sample first; inspect shape, column names, dtypes, examples and encoding. Check that barcode/IDs remain strings with leading zeros.</w:t>
      </w:r>
    </w:p>
    <w:p>
      <w:pPr>
        <w:pStyle w:val="ListNumber"/>
        <w:spacing w:after="60"/>
      </w:pPr>
      <w:r>
        <w:t>Profile row and key counts: exact duplicate rows; duplicated source IDs; duplicate barcodes; conflicting names/sizes/brands within a key.</w:t>
      </w:r>
    </w:p>
    <w:p>
      <w:pPr>
        <w:pStyle w:val="ListNumber"/>
        <w:spacing w:after="60"/>
      </w:pPr>
      <w:r>
        <w:t>Compute null counts and percentages per field, including sentinel strings such as blank, “N/A”, “unknown”, “-” and source-specific placeholders. Do not convert valid values like “0 reviews” to null.</w:t>
      </w:r>
    </w:p>
    <w:p>
      <w:pPr>
        <w:pStyle w:val="ListNumber"/>
        <w:spacing w:after="60"/>
      </w:pPr>
      <w:r>
        <w:t>Summarize numeric fields with count, missingness, min, Q1, median, Q3, max, mean and standard deviation; for skewed variables also report IQR and median absolute deviation.</w:t>
      </w:r>
    </w:p>
    <w:p>
      <w:pPr>
        <w:pStyle w:val="ListNumber"/>
        <w:spacing w:after="60"/>
      </w:pPr>
      <w:r>
        <w:t>Inspect categorical cardinality, top 20 values, rare levels and spelling/case variants. For ingredient text, count missing/empty lists, string lengths, token counts and unusual delimiters.</w:t>
      </w:r>
    </w:p>
    <w:p>
      <w:pPr>
        <w:pStyle w:val="ListNumber"/>
        <w:spacing w:after="60"/>
      </w:pPr>
      <w:r>
        <w:t>Run domain checks: rating bounds, non-negative price/count, plausible size range by unit, valid dates and parse failure rates.</w:t>
      </w:r>
    </w:p>
    <w:p>
      <w:pPr>
        <w:pStyle w:val="ListNumber"/>
        <w:spacing w:after="60"/>
      </w:pPr>
      <w:r>
        <w:t>Assess coverage by category, brand, source, language/market and time. A large dataset may still be poorly representative.</w:t>
      </w:r>
    </w:p>
    <w:p>
      <w:pPr>
        <w:pStyle w:val="Heading2"/>
        <w:keepNext/>
      </w:pPr>
      <w:r>
        <w:t>5.2 Statistical and visual techniques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vAlign w:val="center"/>
            <w:shd w:fill="17365D"/>
          </w:tcPr>
          <w:p>
            <w:pPr>
              <w:spacing w:after="20"/>
            </w:pPr>
            <w:r/>
            <w:r>
              <w:rPr>
                <w:rFonts w:ascii="Calibri" w:hAnsi="Calibri"/>
                <w:b/>
                <w:color w:val="FFFFFF"/>
                <w:sz w:val="16"/>
              </w:rPr>
              <w:t>QUESTION</w:t>
            </w:r>
          </w:p>
        </w:tc>
        <w:tc>
          <w:tcPr>
            <w:tcW w:type="dxa" w:w="3672"/>
            <w:vAlign w:val="center"/>
            <w:shd w:fill="17365D"/>
          </w:tcPr>
          <w:p>
            <w:pPr>
              <w:spacing w:after="20"/>
            </w:pPr>
            <w:r/>
            <w:r>
              <w:rPr>
                <w:rFonts w:ascii="Calibri" w:hAnsi="Calibri"/>
                <w:b/>
                <w:color w:val="FFFFFF"/>
                <w:sz w:val="16"/>
              </w:rPr>
              <w:t>STATISTICS</w:t>
            </w:r>
          </w:p>
        </w:tc>
        <w:tc>
          <w:tcPr>
            <w:tcW w:type="dxa" w:w="4536"/>
            <w:vAlign w:val="center"/>
            <w:shd w:fill="17365D"/>
          </w:tcPr>
          <w:p>
            <w:pPr>
              <w:spacing w:after="20"/>
            </w:pPr>
            <w:r/>
            <w:r>
              <w:rPr>
                <w:rFonts w:ascii="Calibri" w:hAnsi="Calibri"/>
                <w:b/>
                <w:color w:val="FFFFFF"/>
                <w:sz w:val="16"/>
              </w:rPr>
              <w:t>VISUAL / INTERPRETATION</w:t>
            </w:r>
          </w:p>
        </w:tc>
      </w:tr>
      <w:tr>
        <w:tc>
          <w:tcPr>
            <w:tcW w:type="dxa" w:w="2232"/>
            <w:vAlign w:val="center"/>
          </w:tcPr>
          <w:p>
            <w:pPr>
              <w:spacing w:after="20"/>
            </w:pPr>
            <w:r/>
            <w:r>
              <w:rPr>
                <w:rFonts w:ascii="Calibri" w:hAnsi="Calibri"/>
                <w:b w:val="0"/>
                <w:color w:val="243746"/>
                <w:sz w:val="16"/>
              </w:rPr>
              <w:t>Where is information missing?</w:t>
            </w:r>
          </w:p>
        </w:tc>
        <w:tc>
          <w:tcPr>
            <w:tcW w:type="dxa" w:w="3672"/>
            <w:vAlign w:val="center"/>
          </w:tcPr>
          <w:p>
            <w:pPr>
              <w:spacing w:after="20"/>
            </w:pPr>
            <w:r/>
            <w:r>
              <w:rPr>
                <w:rFonts w:ascii="Calibri" w:hAnsi="Calibri"/>
                <w:b w:val="0"/>
                <w:color w:val="243746"/>
                <w:sz w:val="16"/>
              </w:rPr>
              <w:t>Per-field null count/rate; co-missingness pairs; missingness by category/source.</w:t>
            </w:r>
          </w:p>
        </w:tc>
        <w:tc>
          <w:tcPr>
            <w:tcW w:type="dxa" w:w="4536"/>
            <w:vAlign w:val="center"/>
          </w:tcPr>
          <w:p>
            <w:pPr>
              <w:spacing w:after="20"/>
            </w:pPr>
            <w:r/>
            <w:r>
              <w:rPr>
                <w:rFonts w:ascii="Calibri" w:hAnsi="Calibri"/>
                <w:b w:val="0"/>
                <w:color w:val="243746"/>
                <w:sz w:val="16"/>
              </w:rPr>
              <w:t>Sorted missingness bar chart and missingness matrix. A pattern by source may indicate a schema change.</w:t>
            </w:r>
          </w:p>
        </w:tc>
      </w:tr>
      <w:tr>
        <w:tc>
          <w:tcPr>
            <w:tcW w:type="dxa" w:w="2232"/>
            <w:vAlign w:val="center"/>
            <w:shd w:fill="F3F6F8"/>
          </w:tcPr>
          <w:p>
            <w:pPr>
              <w:spacing w:after="20"/>
            </w:pPr>
            <w:r/>
            <w:r>
              <w:rPr>
                <w:rFonts w:ascii="Calibri" w:hAnsi="Calibri"/>
                <w:b w:val="0"/>
                <w:color w:val="243746"/>
                <w:sz w:val="16"/>
              </w:rPr>
              <w:t>Are numeric fields skewed or invalid?</w:t>
            </w:r>
          </w:p>
        </w:tc>
        <w:tc>
          <w:tcPr>
            <w:tcW w:type="dxa" w:w="3672"/>
            <w:vAlign w:val="center"/>
            <w:shd w:fill="F3F6F8"/>
          </w:tcPr>
          <w:p>
            <w:pPr>
              <w:spacing w:after="20"/>
            </w:pPr>
            <w:r/>
            <w:r>
              <w:rPr>
                <w:rFonts w:ascii="Calibri" w:hAnsi="Calibri"/>
                <w:b w:val="0"/>
                <w:color w:val="243746"/>
                <w:sz w:val="16"/>
              </w:rPr>
              <w:t>Quantiles, IQR, MAD, parse-failure and domain-violation counts.</w:t>
            </w:r>
          </w:p>
        </w:tc>
        <w:tc>
          <w:tcPr>
            <w:tcW w:type="dxa" w:w="4536"/>
            <w:vAlign w:val="center"/>
            <w:shd w:fill="F3F6F8"/>
          </w:tcPr>
          <w:p>
            <w:pPr>
              <w:spacing w:after="20"/>
            </w:pPr>
            <w:r/>
            <w:r>
              <w:rPr>
                <w:rFonts w:ascii="Calibri" w:hAnsi="Calibri"/>
                <w:b w:val="0"/>
                <w:color w:val="243746"/>
                <w:sz w:val="16"/>
              </w:rPr>
              <w:t>Histograms before/after log1p where useful; boxplots by category. A point outside whiskers is a review flag, not proof of error.</w:t>
            </w:r>
          </w:p>
        </w:tc>
      </w:tr>
      <w:tr>
        <w:tc>
          <w:tcPr>
            <w:tcW w:type="dxa" w:w="2232"/>
            <w:vAlign w:val="center"/>
          </w:tcPr>
          <w:p>
            <w:pPr>
              <w:spacing w:after="20"/>
            </w:pPr>
            <w:r/>
            <w:r>
              <w:rPr>
                <w:rFonts w:ascii="Calibri" w:hAnsi="Calibri"/>
                <w:b w:val="0"/>
                <w:color w:val="243746"/>
                <w:sz w:val="16"/>
              </w:rPr>
              <w:t>Are categories inconsistent?</w:t>
            </w:r>
          </w:p>
        </w:tc>
        <w:tc>
          <w:tcPr>
            <w:tcW w:type="dxa" w:w="3672"/>
            <w:vAlign w:val="center"/>
          </w:tcPr>
          <w:p>
            <w:pPr>
              <w:spacing w:after="20"/>
            </w:pPr>
            <w:r/>
            <w:r>
              <w:rPr>
                <w:rFonts w:ascii="Calibri" w:hAnsi="Calibri"/>
                <w:b w:val="0"/>
                <w:color w:val="243746"/>
                <w:sz w:val="16"/>
              </w:rPr>
              <w:t>Unique counts, top frequencies, normalized-to-raw mapping table.</w:t>
            </w:r>
          </w:p>
        </w:tc>
        <w:tc>
          <w:tcPr>
            <w:tcW w:type="dxa" w:w="4536"/>
            <w:vAlign w:val="center"/>
          </w:tcPr>
          <w:p>
            <w:pPr>
              <w:spacing w:after="20"/>
            </w:pPr>
            <w:r/>
            <w:r>
              <w:rPr>
                <w:rFonts w:ascii="Calibri" w:hAnsi="Calibri"/>
                <w:b w:val="0"/>
                <w:color w:val="243746"/>
                <w:sz w:val="16"/>
              </w:rPr>
              <w:t>Horizontal bar chart of top categories; heatmap of source/category coverage.</w:t>
            </w:r>
          </w:p>
        </w:tc>
      </w:tr>
      <w:tr>
        <w:tc>
          <w:tcPr>
            <w:tcW w:type="dxa" w:w="2232"/>
            <w:vAlign w:val="center"/>
            <w:shd w:fill="F3F6F8"/>
          </w:tcPr>
          <w:p>
            <w:pPr>
              <w:spacing w:after="20"/>
            </w:pPr>
            <w:r/>
            <w:r>
              <w:rPr>
                <w:rFonts w:ascii="Calibri" w:hAnsi="Calibri"/>
                <w:b w:val="0"/>
                <w:color w:val="243746"/>
                <w:sz w:val="16"/>
              </w:rPr>
              <w:t>Are observations changing over time?</w:t>
            </w:r>
          </w:p>
        </w:tc>
        <w:tc>
          <w:tcPr>
            <w:tcW w:type="dxa" w:w="3672"/>
            <w:vAlign w:val="center"/>
            <w:shd w:fill="F3F6F8"/>
          </w:tcPr>
          <w:p>
            <w:pPr>
              <w:spacing w:after="20"/>
            </w:pPr>
            <w:r/>
            <w:r>
              <w:rPr>
                <w:rFonts w:ascii="Calibri" w:hAnsi="Calibri"/>
                <w:b w:val="0"/>
                <w:color w:val="243746"/>
                <w:sz w:val="16"/>
              </w:rPr>
              <w:t>Counts and missingness by month/snapshot; drift in median price/rating.</w:t>
            </w:r>
          </w:p>
        </w:tc>
        <w:tc>
          <w:tcPr>
            <w:tcW w:type="dxa" w:w="4536"/>
            <w:vAlign w:val="center"/>
            <w:shd w:fill="F3F6F8"/>
          </w:tcPr>
          <w:p>
            <w:pPr>
              <w:spacing w:after="20"/>
            </w:pPr>
            <w:r/>
            <w:r>
              <w:rPr>
                <w:rFonts w:ascii="Calibri" w:hAnsi="Calibri"/>
                <w:b w:val="0"/>
                <w:color w:val="243746"/>
                <w:sz w:val="16"/>
              </w:rPr>
              <w:t>Line charts with denominators and coverage annotations; avoid trend claims from changing sample composition.</w:t>
            </w:r>
          </w:p>
        </w:tc>
      </w:tr>
      <w:tr>
        <w:tc>
          <w:tcPr>
            <w:tcW w:type="dxa" w:w="2232"/>
            <w:vAlign w:val="center"/>
          </w:tcPr>
          <w:p>
            <w:pPr>
              <w:spacing w:after="20"/>
            </w:pPr>
            <w:r/>
            <w:r>
              <w:rPr>
                <w:rFonts w:ascii="Calibri" w:hAnsi="Calibri"/>
                <w:b w:val="0"/>
                <w:color w:val="243746"/>
                <w:sz w:val="16"/>
              </w:rPr>
              <w:t>Do prices differ after unit control?</w:t>
            </w:r>
          </w:p>
        </w:tc>
        <w:tc>
          <w:tcPr>
            <w:tcW w:type="dxa" w:w="3672"/>
            <w:vAlign w:val="center"/>
          </w:tcPr>
          <w:p>
            <w:pPr>
              <w:spacing w:after="20"/>
            </w:pPr>
            <w:r/>
            <w:r>
              <w:rPr>
                <w:rFonts w:ascii="Calibri" w:hAnsi="Calibri"/>
                <w:b w:val="0"/>
                <w:color w:val="243746"/>
                <w:sz w:val="16"/>
              </w:rPr>
              <w:t>Median/IQR price per 100 mL or 100 g within compatible product/category groups.</w:t>
            </w:r>
          </w:p>
        </w:tc>
        <w:tc>
          <w:tcPr>
            <w:tcW w:type="dxa" w:w="4536"/>
            <w:vAlign w:val="center"/>
          </w:tcPr>
          <w:p>
            <w:pPr>
              <w:spacing w:after="20"/>
            </w:pPr>
            <w:r/>
            <w:r>
              <w:rPr>
                <w:rFonts w:ascii="Calibri" w:hAnsi="Calibri"/>
                <w:b w:val="0"/>
                <w:color w:val="243746"/>
                <w:sz w:val="16"/>
              </w:rPr>
              <w:t>Faceted boxplots; exclude incompatible units and disclose currency/date assumptions.</w:t>
            </w:r>
          </w:p>
        </w:tc>
      </w:tr>
    </w:tbl>
    <w:p>
      <w:pPr>
        <w:spacing w:after="20"/>
      </w:pPr>
    </w:p>
    <w:p>
      <w:pPr>
        <w:pStyle w:val="Heading2"/>
        <w:keepNext/>
      </w:pPr>
      <w:r>
        <w:t>5.3 Numerical example of outlier review</w:t>
      </w:r>
    </w:p>
    <w:p>
      <w:pPr>
        <w:spacing w:after="100"/>
      </w:pPr>
      <w:r>
        <w:t>Suppose a hypothetical cleaned category contains 9 prices per 100 mL: 8, 9, 10, 10, 11, 12, 13, 14, 120 (currency units). Using the median-of-halves convention, Q1 = 9, Q3 = 13, IQR = 4; the upper Tukey fence is 13 + 1.5 × 4 = 19. The value 120 is flagged for investigation. It may be a genuine premium product, a unit-conversion error or a currency/pack-size problem. Check the raw row, size, currency and source listing before deciding. The fence is an exploratory flag, not an automatic deletion threshold.</w:t>
      </w:r>
    </w:p>
    <w:p>
      <w:pPr>
        <w:spacing w:after="100"/>
      </w:pPr>
      <w:r>
        <w:t>For long-tailed review counts, use log1p(count) for visualization/model features when suitable; do not overwrite the original count. Compare robust summaries and inspect the most extreme records. A z-score threshold alone is inappropriate for strongly skewed distributions.</w:t>
      </w:r>
    </w:p>
    <w:p>
      <w:pPr>
        <w:pStyle w:val="Heading1"/>
        <w:keepNext/>
      </w:pPr>
      <w:r>
        <w:t>6. Worked synthetic example with counts</w:t>
      </w:r>
    </w:p>
    <w:p>
      <w:pPr>
        <w:spacing w:after="100"/>
      </w:pPr>
      <w:r>
        <w:t>The table below is deliberately synthetic and small enough to audit by eye. It demonstrates how a repeatable process should report changes. The product names, IDs and values are invented for teaching; they are not collected from Open Beauty Facts or a retailer.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792"/>
            <w:vAlign w:val="center"/>
            <w:shd w:fill="17365D"/>
          </w:tcPr>
          <w:p>
            <w:pPr>
              <w:spacing w:after="20"/>
            </w:pPr>
            <w:r/>
            <w:r>
              <w:rPr>
                <w:rFonts w:ascii="Calibri" w:hAnsi="Calibri"/>
                <w:b/>
                <w:color w:val="FFFFFF"/>
                <w:sz w:val="15"/>
              </w:rPr>
              <w:t>ID</w:t>
            </w:r>
          </w:p>
        </w:tc>
        <w:tc>
          <w:tcPr>
            <w:tcW w:type="dxa" w:w="4680"/>
            <w:vAlign w:val="center"/>
            <w:shd w:fill="17365D"/>
          </w:tcPr>
          <w:p>
            <w:pPr>
              <w:spacing w:after="20"/>
            </w:pPr>
            <w:r/>
            <w:r>
              <w:rPr>
                <w:rFonts w:ascii="Calibri" w:hAnsi="Calibri"/>
                <w:b/>
                <w:color w:val="FFFFFF"/>
                <w:sz w:val="15"/>
              </w:rPr>
              <w:t>RAW OBSERVATION / DEFECT</w:t>
            </w:r>
          </w:p>
        </w:tc>
        <w:tc>
          <w:tcPr>
            <w:tcW w:type="dxa" w:w="4968"/>
            <w:vAlign w:val="center"/>
            <w:shd w:fill="17365D"/>
          </w:tcPr>
          <w:p>
            <w:pPr>
              <w:spacing w:after="20"/>
            </w:pPr>
            <w:r/>
            <w:r>
              <w:rPr>
                <w:rFonts w:ascii="Calibri" w:hAnsi="Calibri"/>
                <w:b/>
                <w:color w:val="FFFFFF"/>
                <w:sz w:val="15"/>
              </w:rPr>
              <w:t>DECISION AND RESULT</w:t>
            </w:r>
          </w:p>
        </w:tc>
      </w:tr>
      <w:tr>
        <w:tc>
          <w:tcPr>
            <w:tcW w:type="dxa" w:w="792"/>
            <w:vAlign w:val="center"/>
          </w:tcPr>
          <w:p>
            <w:pPr>
              <w:spacing w:after="20"/>
            </w:pPr>
            <w:r/>
            <w:r>
              <w:rPr>
                <w:rFonts w:ascii="Calibri" w:hAnsi="Calibri"/>
                <w:b w:val="0"/>
                <w:color w:val="243746"/>
                <w:sz w:val="15"/>
              </w:rPr>
              <w:t>S001</w:t>
            </w:r>
          </w:p>
        </w:tc>
        <w:tc>
          <w:tcPr>
            <w:tcW w:type="dxa" w:w="4680"/>
            <w:vAlign w:val="center"/>
          </w:tcPr>
          <w:p>
            <w:pPr>
              <w:spacing w:after="20"/>
            </w:pPr>
            <w:r/>
            <w:r>
              <w:rPr>
                <w:rFonts w:ascii="Calibri" w:hAnsi="Calibri"/>
                <w:b w:val="0"/>
                <w:color w:val="243746"/>
                <w:sz w:val="15"/>
              </w:rPr>
              <w:t>“ Glow Serum ”; category “Serum”; size “30 ml”; price “$18.00”; rating 4.5</w:t>
            </w:r>
          </w:p>
        </w:tc>
        <w:tc>
          <w:tcPr>
            <w:tcW w:type="dxa" w:w="4968"/>
            <w:vAlign w:val="center"/>
          </w:tcPr>
          <w:p>
            <w:pPr>
              <w:spacing w:after="20"/>
            </w:pPr>
            <w:r/>
            <w:r>
              <w:rPr>
                <w:rFonts w:ascii="Calibri" w:hAnsi="Calibri"/>
                <w:b w:val="0"/>
                <w:color w:val="243746"/>
                <w:sz w:val="15"/>
              </w:rPr>
              <w:t>Trim name; map category to “serum”; parse 30 mL and 18.00 only if currency is confirmed.</w:t>
            </w:r>
          </w:p>
        </w:tc>
      </w:tr>
      <w:tr>
        <w:tc>
          <w:tcPr>
            <w:tcW w:type="dxa" w:w="792"/>
            <w:vAlign w:val="center"/>
            <w:shd w:fill="F3F6F8"/>
          </w:tcPr>
          <w:p>
            <w:pPr>
              <w:spacing w:after="20"/>
            </w:pPr>
            <w:r/>
            <w:r>
              <w:rPr>
                <w:rFonts w:ascii="Calibri" w:hAnsi="Calibri"/>
                <w:b w:val="0"/>
                <w:color w:val="243746"/>
                <w:sz w:val="15"/>
              </w:rPr>
              <w:t>S002</w:t>
            </w:r>
          </w:p>
        </w:tc>
        <w:tc>
          <w:tcPr>
            <w:tcW w:type="dxa" w:w="4680"/>
            <w:vAlign w:val="center"/>
            <w:shd w:fill="F3F6F8"/>
          </w:tcPr>
          <w:p>
            <w:pPr>
              <w:spacing w:after="20"/>
            </w:pPr>
            <w:r/>
            <w:r>
              <w:rPr>
                <w:rFonts w:ascii="Calibri" w:hAnsi="Calibri"/>
                <w:b w:val="0"/>
                <w:color w:val="243746"/>
                <w:sz w:val="15"/>
              </w:rPr>
              <w:t>Daily Cream; category “Moisturizer”; size “50ml”; price “USD 24”; rating 4.2</w:t>
            </w:r>
          </w:p>
        </w:tc>
        <w:tc>
          <w:tcPr>
            <w:tcW w:type="dxa" w:w="4968"/>
            <w:vAlign w:val="center"/>
            <w:shd w:fill="F3F6F8"/>
          </w:tcPr>
          <w:p>
            <w:pPr>
              <w:spacing w:after="20"/>
            </w:pPr>
            <w:r/>
            <w:r>
              <w:rPr>
                <w:rFonts w:ascii="Calibri" w:hAnsi="Calibri"/>
                <w:b w:val="0"/>
                <w:color w:val="243746"/>
                <w:sz w:val="15"/>
              </w:rPr>
              <w:t>Normalize category and unit spelling. Preserve currency code; parse amount only after confirming format.</w:t>
            </w:r>
          </w:p>
        </w:tc>
      </w:tr>
      <w:tr>
        <w:tc>
          <w:tcPr>
            <w:tcW w:type="dxa" w:w="792"/>
            <w:vAlign w:val="center"/>
          </w:tcPr>
          <w:p>
            <w:pPr>
              <w:spacing w:after="20"/>
            </w:pPr>
            <w:r/>
            <w:r>
              <w:rPr>
                <w:rFonts w:ascii="Calibri" w:hAnsi="Calibri"/>
                <w:b w:val="0"/>
                <w:color w:val="243746"/>
                <w:sz w:val="15"/>
              </w:rPr>
              <w:t>S003</w:t>
            </w:r>
          </w:p>
        </w:tc>
        <w:tc>
          <w:tcPr>
            <w:tcW w:type="dxa" w:w="4680"/>
            <w:vAlign w:val="center"/>
          </w:tcPr>
          <w:p>
            <w:pPr>
              <w:spacing w:after="20"/>
            </w:pPr>
            <w:r/>
            <w:r>
              <w:rPr>
                <w:rFonts w:ascii="Calibri" w:hAnsi="Calibri"/>
                <w:b w:val="0"/>
                <w:color w:val="243746"/>
                <w:sz w:val="15"/>
              </w:rPr>
              <w:t>Gentle Cleanser; size “150 ml”; rating 4.1</w:t>
            </w:r>
          </w:p>
        </w:tc>
        <w:tc>
          <w:tcPr>
            <w:tcW w:type="dxa" w:w="4968"/>
            <w:vAlign w:val="center"/>
          </w:tcPr>
          <w:p>
            <w:pPr>
              <w:spacing w:after="20"/>
            </w:pPr>
            <w:r/>
            <w:r>
              <w:rPr>
                <w:rFonts w:ascii="Calibri" w:hAnsi="Calibri"/>
                <w:b w:val="0"/>
                <w:color w:val="243746"/>
                <w:sz w:val="15"/>
              </w:rPr>
              <w:t>Valid example row; retain.</w:t>
            </w:r>
          </w:p>
        </w:tc>
      </w:tr>
      <w:tr>
        <w:tc>
          <w:tcPr>
            <w:tcW w:type="dxa" w:w="792"/>
            <w:vAlign w:val="center"/>
            <w:shd w:fill="F3F6F8"/>
          </w:tcPr>
          <w:p>
            <w:pPr>
              <w:spacing w:after="20"/>
            </w:pPr>
            <w:r/>
            <w:r>
              <w:rPr>
                <w:rFonts w:ascii="Calibri" w:hAnsi="Calibri"/>
                <w:b w:val="0"/>
                <w:color w:val="243746"/>
                <w:sz w:val="15"/>
              </w:rPr>
              <w:t>S004</w:t>
            </w:r>
          </w:p>
        </w:tc>
        <w:tc>
          <w:tcPr>
            <w:tcW w:type="dxa" w:w="4680"/>
            <w:vAlign w:val="center"/>
            <w:shd w:fill="F3F6F8"/>
          </w:tcPr>
          <w:p>
            <w:pPr>
              <w:spacing w:after="20"/>
            </w:pPr>
            <w:r/>
            <w:r>
              <w:rPr>
                <w:rFonts w:ascii="Calibri" w:hAnsi="Calibri"/>
                <w:b w:val="0"/>
                <w:color w:val="243746"/>
                <w:sz w:val="15"/>
              </w:rPr>
              <w:t>Vitamin C Serum; rating 8.2 on a documented 1–5 scale</w:t>
            </w:r>
          </w:p>
        </w:tc>
        <w:tc>
          <w:tcPr>
            <w:tcW w:type="dxa" w:w="4968"/>
            <w:vAlign w:val="center"/>
            <w:shd w:fill="F3F6F8"/>
          </w:tcPr>
          <w:p>
            <w:pPr>
              <w:spacing w:after="20"/>
            </w:pPr>
            <w:r/>
            <w:r>
              <w:rPr>
                <w:rFonts w:ascii="Calibri" w:hAnsi="Calibri"/>
                <w:b w:val="0"/>
                <w:color w:val="243746"/>
                <w:sz w:val="15"/>
              </w:rPr>
              <w:t>Set cleaned rating to null; set rating_invalid_range=true; preserve raw value 8.2 for audit.</w:t>
            </w:r>
          </w:p>
        </w:tc>
      </w:tr>
      <w:tr>
        <w:tc>
          <w:tcPr>
            <w:tcW w:type="dxa" w:w="792"/>
            <w:vAlign w:val="center"/>
          </w:tcPr>
          <w:p>
            <w:pPr>
              <w:spacing w:after="20"/>
            </w:pPr>
            <w:r/>
            <w:r>
              <w:rPr>
                <w:rFonts w:ascii="Calibri" w:hAnsi="Calibri"/>
                <w:b w:val="0"/>
                <w:color w:val="243746"/>
                <w:sz w:val="15"/>
              </w:rPr>
              <w:t>S005</w:t>
            </w:r>
          </w:p>
        </w:tc>
        <w:tc>
          <w:tcPr>
            <w:tcW w:type="dxa" w:w="4680"/>
            <w:vAlign w:val="center"/>
          </w:tcPr>
          <w:p>
            <w:pPr>
              <w:spacing w:after="20"/>
            </w:pPr>
            <w:r/>
            <w:r>
              <w:rPr>
                <w:rFonts w:ascii="Calibri" w:hAnsi="Calibri"/>
                <w:b w:val="0"/>
                <w:color w:val="243746"/>
                <w:sz w:val="15"/>
              </w:rPr>
              <w:t>Barrier Balm; ingredient field blank; rating blank; review count 0</w:t>
            </w:r>
          </w:p>
        </w:tc>
        <w:tc>
          <w:tcPr>
            <w:tcW w:type="dxa" w:w="4968"/>
            <w:vAlign w:val="center"/>
          </w:tcPr>
          <w:p>
            <w:pPr>
              <w:spacing w:after="20"/>
            </w:pPr>
            <w:r/>
            <w:r>
              <w:rPr>
                <w:rFonts w:ascii="Calibri" w:hAnsi="Calibri"/>
                <w:b w:val="0"/>
                <w:color w:val="243746"/>
                <w:sz w:val="15"/>
              </w:rPr>
              <w:t>Ingredient/rating remain missing; a count of zero is valid. Do not infer “no ingredients” or “zero stars.”</w:t>
            </w:r>
          </w:p>
        </w:tc>
      </w:tr>
      <w:tr>
        <w:tc>
          <w:tcPr>
            <w:tcW w:type="dxa" w:w="792"/>
            <w:vAlign w:val="center"/>
            <w:shd w:fill="F3F6F8"/>
          </w:tcPr>
          <w:p>
            <w:pPr>
              <w:spacing w:after="20"/>
            </w:pPr>
            <w:r/>
            <w:r>
              <w:rPr>
                <w:rFonts w:ascii="Calibri" w:hAnsi="Calibri"/>
                <w:b w:val="0"/>
                <w:color w:val="243746"/>
                <w:sz w:val="15"/>
              </w:rPr>
              <w:t>S006</w:t>
            </w:r>
          </w:p>
        </w:tc>
        <w:tc>
          <w:tcPr>
            <w:tcW w:type="dxa" w:w="4680"/>
            <w:vAlign w:val="center"/>
            <w:shd w:fill="F3F6F8"/>
          </w:tcPr>
          <w:p>
            <w:pPr>
              <w:spacing w:after="20"/>
            </w:pPr>
            <w:r/>
            <w:r>
              <w:rPr>
                <w:rFonts w:ascii="Calibri" w:hAnsi="Calibri"/>
                <w:b w:val="0"/>
                <w:color w:val="243746"/>
                <w:sz w:val="15"/>
              </w:rPr>
              <w:t>Body Lotion; price “-3.00”; rating 4.0</w:t>
            </w:r>
          </w:p>
        </w:tc>
        <w:tc>
          <w:tcPr>
            <w:tcW w:type="dxa" w:w="4968"/>
            <w:vAlign w:val="center"/>
            <w:shd w:fill="F3F6F8"/>
          </w:tcPr>
          <w:p>
            <w:pPr>
              <w:spacing w:after="20"/>
            </w:pPr>
            <w:r/>
            <w:r>
              <w:rPr>
                <w:rFonts w:ascii="Calibri" w:hAnsi="Calibri"/>
                <w:b w:val="0"/>
                <w:color w:val="243746"/>
                <w:sz w:val="15"/>
              </w:rPr>
              <w:t>Set price to null and flag price_negative=true; investigate source row.</w:t>
            </w:r>
          </w:p>
        </w:tc>
      </w:tr>
      <w:tr>
        <w:tc>
          <w:tcPr>
            <w:tcW w:type="dxa" w:w="792"/>
            <w:vAlign w:val="center"/>
          </w:tcPr>
          <w:p>
            <w:pPr>
              <w:spacing w:after="20"/>
            </w:pPr>
            <w:r/>
            <w:r>
              <w:rPr>
                <w:rFonts w:ascii="Calibri" w:hAnsi="Calibri"/>
                <w:b w:val="0"/>
                <w:color w:val="243746"/>
                <w:sz w:val="15"/>
              </w:rPr>
              <w:t>S007</w:t>
            </w:r>
          </w:p>
        </w:tc>
        <w:tc>
          <w:tcPr>
            <w:tcW w:type="dxa" w:w="4680"/>
            <w:vAlign w:val="center"/>
          </w:tcPr>
          <w:p>
            <w:pPr>
              <w:spacing w:after="20"/>
            </w:pPr>
            <w:r/>
            <w:r>
              <w:rPr>
                <w:rFonts w:ascii="Calibri" w:hAnsi="Calibri"/>
                <w:b w:val="0"/>
                <w:color w:val="243746"/>
                <w:sz w:val="15"/>
              </w:rPr>
              <w:t>Night Oil; review count “1,200”; size “30mL”</w:t>
            </w:r>
          </w:p>
        </w:tc>
        <w:tc>
          <w:tcPr>
            <w:tcW w:type="dxa" w:w="4968"/>
            <w:vAlign w:val="center"/>
          </w:tcPr>
          <w:p>
            <w:pPr>
              <w:spacing w:after="20"/>
            </w:pPr>
            <w:r/>
            <w:r>
              <w:rPr>
                <w:rFonts w:ascii="Calibri" w:hAnsi="Calibri"/>
                <w:b w:val="0"/>
                <w:color w:val="243746"/>
                <w:sz w:val="15"/>
              </w:rPr>
              <w:t>Parse 1,200 under a confirmed comma-thousands locale; normalize mL.</w:t>
            </w:r>
          </w:p>
        </w:tc>
      </w:tr>
      <w:tr>
        <w:tc>
          <w:tcPr>
            <w:tcW w:type="dxa" w:w="792"/>
            <w:vAlign w:val="center"/>
            <w:shd w:fill="F3F6F8"/>
          </w:tcPr>
          <w:p>
            <w:pPr>
              <w:spacing w:after="20"/>
            </w:pPr>
            <w:r/>
            <w:r>
              <w:rPr>
                <w:rFonts w:ascii="Calibri" w:hAnsi="Calibri"/>
                <w:b w:val="0"/>
                <w:color w:val="243746"/>
                <w:sz w:val="15"/>
              </w:rPr>
              <w:t>S008</w:t>
            </w:r>
          </w:p>
        </w:tc>
        <w:tc>
          <w:tcPr>
            <w:tcW w:type="dxa" w:w="4680"/>
            <w:vAlign w:val="center"/>
            <w:shd w:fill="F3F6F8"/>
          </w:tcPr>
          <w:p>
            <w:pPr>
              <w:spacing w:after="20"/>
            </w:pPr>
            <w:r/>
            <w:r>
              <w:rPr>
                <w:rFonts w:ascii="Calibri" w:hAnsi="Calibri"/>
                <w:b w:val="0"/>
                <w:color w:val="243746"/>
                <w:sz w:val="15"/>
              </w:rPr>
              <w:t>Sun Cream; brand “NOVA ”; category “Sun Care”</w:t>
            </w:r>
          </w:p>
        </w:tc>
        <w:tc>
          <w:tcPr>
            <w:tcW w:type="dxa" w:w="4968"/>
            <w:vAlign w:val="center"/>
            <w:shd w:fill="F3F6F8"/>
          </w:tcPr>
          <w:p>
            <w:pPr>
              <w:spacing w:after="20"/>
            </w:pPr>
            <w:r/>
            <w:r>
              <w:rPr>
                <w:rFonts w:ascii="Calibri" w:hAnsi="Calibri"/>
                <w:b w:val="0"/>
                <w:color w:val="243746"/>
                <w:sz w:val="15"/>
              </w:rPr>
              <w:t>Trim brand; map category using documented synonym dictionary.</w:t>
            </w:r>
          </w:p>
        </w:tc>
      </w:tr>
      <w:tr>
        <w:tc>
          <w:tcPr>
            <w:tcW w:type="dxa" w:w="792"/>
            <w:vAlign w:val="center"/>
          </w:tcPr>
          <w:p>
            <w:pPr>
              <w:spacing w:after="20"/>
            </w:pPr>
            <w:r/>
            <w:r>
              <w:rPr>
                <w:rFonts w:ascii="Calibri" w:hAnsi="Calibri"/>
                <w:b w:val="0"/>
                <w:color w:val="243746"/>
                <w:sz w:val="15"/>
              </w:rPr>
              <w:t>S001</w:t>
            </w:r>
          </w:p>
        </w:tc>
        <w:tc>
          <w:tcPr>
            <w:tcW w:type="dxa" w:w="4680"/>
            <w:vAlign w:val="center"/>
          </w:tcPr>
          <w:p>
            <w:pPr>
              <w:spacing w:after="20"/>
            </w:pPr>
            <w:r/>
            <w:r>
              <w:rPr>
                <w:rFonts w:ascii="Calibri" w:hAnsi="Calibri"/>
                <w:b w:val="0"/>
                <w:color w:val="243746"/>
                <w:sz w:val="15"/>
              </w:rPr>
              <w:t>Exact repeat of first raw row</w:t>
            </w:r>
          </w:p>
        </w:tc>
        <w:tc>
          <w:tcPr>
            <w:tcW w:type="dxa" w:w="4968"/>
            <w:vAlign w:val="center"/>
          </w:tcPr>
          <w:p>
            <w:pPr>
              <w:spacing w:after="20"/>
            </w:pPr>
            <w:r/>
            <w:r>
              <w:rPr>
                <w:rFonts w:ascii="Calibri" w:hAnsi="Calibri"/>
                <w:b w:val="0"/>
                <w:color w:val="243746"/>
                <w:sz w:val="15"/>
              </w:rPr>
              <w:t>Drop one exact duplicate; log duplicate count and retained-record rule.</w:t>
            </w:r>
          </w:p>
        </w:tc>
      </w:tr>
      <w:tr>
        <w:tc>
          <w:tcPr>
            <w:tcW w:type="dxa" w:w="792"/>
            <w:vAlign w:val="center"/>
            <w:shd w:fill="F3F6F8"/>
          </w:tcPr>
          <w:p>
            <w:pPr>
              <w:spacing w:after="20"/>
            </w:pPr>
            <w:r/>
            <w:r>
              <w:rPr>
                <w:rFonts w:ascii="Calibri" w:hAnsi="Calibri"/>
                <w:b w:val="0"/>
                <w:color w:val="243746"/>
                <w:sz w:val="15"/>
              </w:rPr>
              <w:t>S010</w:t>
            </w:r>
          </w:p>
        </w:tc>
        <w:tc>
          <w:tcPr>
            <w:tcW w:type="dxa" w:w="4680"/>
            <w:vAlign w:val="center"/>
            <w:shd w:fill="F3F6F8"/>
          </w:tcPr>
          <w:p>
            <w:pPr>
              <w:spacing w:after="20"/>
            </w:pPr>
            <w:r/>
            <w:r>
              <w:rPr>
                <w:rFonts w:ascii="Calibri" w:hAnsi="Calibri"/>
                <w:b w:val="0"/>
                <w:color w:val="243746"/>
                <w:sz w:val="15"/>
              </w:rPr>
              <w:t>Product name missing; other fields populated</w:t>
            </w:r>
          </w:p>
        </w:tc>
        <w:tc>
          <w:tcPr>
            <w:tcW w:type="dxa" w:w="4968"/>
            <w:vAlign w:val="center"/>
            <w:shd w:fill="F3F6F8"/>
          </w:tcPr>
          <w:p>
            <w:pPr>
              <w:spacing w:after="20"/>
            </w:pPr>
            <w:r/>
            <w:r>
              <w:rPr>
                <w:rFonts w:ascii="Calibri" w:hAnsi="Calibri"/>
                <w:b w:val="0"/>
                <w:color w:val="243746"/>
                <w:sz w:val="15"/>
              </w:rPr>
              <w:t>Quarantine as missing critical identity; retain raw row and reason, do not guess name.</w:t>
            </w:r>
          </w:p>
        </w:tc>
      </w:tr>
    </w:tbl>
    <w:p>
      <w:pPr>
        <w:spacing w:after="20"/>
      </w:pPr>
    </w:p>
    <w:p>
      <w:pPr>
        <w:pStyle w:val="Heading2"/>
        <w:keepNext/>
      </w:pPr>
      <w:r>
        <w:t>6.1 Reconciled row and field counts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952"/>
            <w:vAlign w:val="center"/>
            <w:shd w:fill="17365D"/>
          </w:tcPr>
          <w:p>
            <w:pPr>
              <w:spacing w:after="20"/>
            </w:pPr>
            <w:r/>
            <w:r>
              <w:rPr>
                <w:rFonts w:ascii="Calibri" w:hAnsi="Calibri"/>
                <w:b/>
                <w:color w:val="FFFFFF"/>
                <w:sz w:val="17"/>
              </w:rPr>
              <w:t>STAGE / CHECK</w:t>
            </w:r>
          </w:p>
        </w:tc>
        <w:tc>
          <w:tcPr>
            <w:tcW w:type="dxa" w:w="1728"/>
            <w:vAlign w:val="center"/>
            <w:shd w:fill="17365D"/>
          </w:tcPr>
          <w:p>
            <w:pPr>
              <w:spacing w:after="20"/>
            </w:pPr>
            <w:r/>
            <w:r>
              <w:rPr>
                <w:rFonts w:ascii="Calibri" w:hAnsi="Calibri"/>
                <w:b/>
                <w:color w:val="FFFFFF"/>
                <w:sz w:val="17"/>
              </w:rPr>
              <w:t>COUNT</w:t>
            </w:r>
          </w:p>
        </w:tc>
        <w:tc>
          <w:tcPr>
            <w:tcW w:type="dxa" w:w="5760"/>
            <w:vAlign w:val="center"/>
            <w:shd w:fill="17365D"/>
          </w:tcPr>
          <w:p>
            <w:pPr>
              <w:spacing w:after="20"/>
            </w:pPr>
            <w:r/>
            <w:r>
              <w:rPr>
                <w:rFonts w:ascii="Calibri" w:hAnsi="Calibri"/>
                <w:b/>
                <w:color w:val="FFFFFF"/>
                <w:sz w:val="17"/>
              </w:rPr>
              <w:t>CALCULATION / MEANING</w:t>
            </w:r>
          </w:p>
        </w:tc>
      </w:tr>
      <w:tr>
        <w:tc>
          <w:tcPr>
            <w:tcW w:type="dxa" w:w="2952"/>
            <w:vAlign w:val="center"/>
          </w:tcPr>
          <w:p>
            <w:pPr>
              <w:spacing w:after="20"/>
            </w:pPr>
            <w:r/>
            <w:r>
              <w:rPr>
                <w:rFonts w:ascii="Calibri" w:hAnsi="Calibri"/>
                <w:b w:val="0"/>
                <w:color w:val="243746"/>
                <w:sz w:val="17"/>
              </w:rPr>
              <w:t>Raw rows</w:t>
            </w:r>
          </w:p>
        </w:tc>
        <w:tc>
          <w:tcPr>
            <w:tcW w:type="dxa" w:w="1728"/>
            <w:vAlign w:val="center"/>
          </w:tcPr>
          <w:p>
            <w:pPr>
              <w:spacing w:after="20"/>
            </w:pPr>
            <w:r/>
            <w:r>
              <w:rPr>
                <w:rFonts w:ascii="Calibri" w:hAnsi="Calibri"/>
                <w:b w:val="0"/>
                <w:color w:val="243746"/>
                <w:sz w:val="17"/>
              </w:rPr>
              <w:t>10</w:t>
            </w:r>
          </w:p>
        </w:tc>
        <w:tc>
          <w:tcPr>
            <w:tcW w:type="dxa" w:w="5760"/>
            <w:vAlign w:val="center"/>
          </w:tcPr>
          <w:p>
            <w:pPr>
              <w:spacing w:after="20"/>
            </w:pPr>
            <w:r/>
            <w:r>
              <w:rPr>
                <w:rFonts w:ascii="Calibri" w:hAnsi="Calibri"/>
                <w:b w:val="0"/>
                <w:color w:val="243746"/>
                <w:sz w:val="17"/>
              </w:rPr>
              <w:t>Synthetic input rows, including one repeated row</w:t>
            </w:r>
          </w:p>
        </w:tc>
      </w:tr>
      <w:tr>
        <w:tc>
          <w:tcPr>
            <w:tcW w:type="dxa" w:w="2952"/>
            <w:vAlign w:val="center"/>
            <w:shd w:fill="F3F6F8"/>
          </w:tcPr>
          <w:p>
            <w:pPr>
              <w:spacing w:after="20"/>
            </w:pPr>
            <w:r/>
            <w:r>
              <w:rPr>
                <w:rFonts w:ascii="Calibri" w:hAnsi="Calibri"/>
                <w:b w:val="0"/>
                <w:color w:val="243746"/>
                <w:sz w:val="17"/>
              </w:rPr>
              <w:t>Exact duplicate rows removed</w:t>
            </w:r>
          </w:p>
        </w:tc>
        <w:tc>
          <w:tcPr>
            <w:tcW w:type="dxa" w:w="1728"/>
            <w:vAlign w:val="center"/>
            <w:shd w:fill="F3F6F8"/>
          </w:tcPr>
          <w:p>
            <w:pPr>
              <w:spacing w:after="20"/>
            </w:pPr>
            <w:r/>
            <w:r>
              <w:rPr>
                <w:rFonts w:ascii="Calibri" w:hAnsi="Calibri"/>
                <w:b w:val="0"/>
                <w:color w:val="243746"/>
                <w:sz w:val="17"/>
              </w:rPr>
              <w:t>1</w:t>
            </w:r>
          </w:p>
        </w:tc>
        <w:tc>
          <w:tcPr>
            <w:tcW w:type="dxa" w:w="5760"/>
            <w:vAlign w:val="center"/>
            <w:shd w:fill="F3F6F8"/>
          </w:tcPr>
          <w:p>
            <w:pPr>
              <w:spacing w:after="20"/>
            </w:pPr>
            <w:r/>
            <w:r>
              <w:rPr>
                <w:rFonts w:ascii="Calibri" w:hAnsi="Calibri"/>
                <w:b w:val="0"/>
                <w:color w:val="243746"/>
                <w:sz w:val="17"/>
              </w:rPr>
              <w:t>10 - 1 = 9 unique raw rows</w:t>
            </w:r>
          </w:p>
        </w:tc>
      </w:tr>
      <w:tr>
        <w:tc>
          <w:tcPr>
            <w:tcW w:type="dxa" w:w="2952"/>
            <w:vAlign w:val="center"/>
          </w:tcPr>
          <w:p>
            <w:pPr>
              <w:spacing w:after="20"/>
            </w:pPr>
            <w:r/>
            <w:r>
              <w:rPr>
                <w:rFonts w:ascii="Calibri" w:hAnsi="Calibri"/>
                <w:b w:val="0"/>
                <w:color w:val="243746"/>
                <w:sz w:val="17"/>
              </w:rPr>
              <w:t>Missing critical product-name rows quarantined</w:t>
            </w:r>
          </w:p>
        </w:tc>
        <w:tc>
          <w:tcPr>
            <w:tcW w:type="dxa" w:w="1728"/>
            <w:vAlign w:val="center"/>
          </w:tcPr>
          <w:p>
            <w:pPr>
              <w:spacing w:after="20"/>
            </w:pPr>
            <w:r/>
            <w:r>
              <w:rPr>
                <w:rFonts w:ascii="Calibri" w:hAnsi="Calibri"/>
                <w:b w:val="0"/>
                <w:color w:val="243746"/>
                <w:sz w:val="17"/>
              </w:rPr>
              <w:t>1</w:t>
            </w:r>
          </w:p>
        </w:tc>
        <w:tc>
          <w:tcPr>
            <w:tcW w:type="dxa" w:w="5760"/>
            <w:vAlign w:val="center"/>
          </w:tcPr>
          <w:p>
            <w:pPr>
              <w:spacing w:after="20"/>
            </w:pPr>
            <w:r/>
            <w:r>
              <w:rPr>
                <w:rFonts w:ascii="Calibri" w:hAnsi="Calibri"/>
                <w:b w:val="0"/>
                <w:color w:val="243746"/>
                <w:sz w:val="17"/>
              </w:rPr>
              <w:t>9 - 1 = 8 analysis candidates</w:t>
            </w:r>
          </w:p>
        </w:tc>
      </w:tr>
      <w:tr>
        <w:tc>
          <w:tcPr>
            <w:tcW w:type="dxa" w:w="2952"/>
            <w:vAlign w:val="center"/>
            <w:shd w:fill="F3F6F8"/>
          </w:tcPr>
          <w:p>
            <w:pPr>
              <w:spacing w:after="20"/>
            </w:pPr>
            <w:r/>
            <w:r>
              <w:rPr>
                <w:rFonts w:ascii="Calibri" w:hAnsi="Calibri"/>
                <w:b w:val="0"/>
                <w:color w:val="243746"/>
                <w:sz w:val="17"/>
              </w:rPr>
              <w:t>Final candidate rows</w:t>
            </w:r>
          </w:p>
        </w:tc>
        <w:tc>
          <w:tcPr>
            <w:tcW w:type="dxa" w:w="1728"/>
            <w:vAlign w:val="center"/>
            <w:shd w:fill="F3F6F8"/>
          </w:tcPr>
          <w:p>
            <w:pPr>
              <w:spacing w:after="20"/>
            </w:pPr>
            <w:r/>
            <w:r>
              <w:rPr>
                <w:rFonts w:ascii="Calibri" w:hAnsi="Calibri"/>
                <w:b w:val="0"/>
                <w:color w:val="243746"/>
                <w:sz w:val="17"/>
              </w:rPr>
              <w:t>8</w:t>
            </w:r>
          </w:p>
        </w:tc>
        <w:tc>
          <w:tcPr>
            <w:tcW w:type="dxa" w:w="5760"/>
            <w:vAlign w:val="center"/>
            <w:shd w:fill="F3F6F8"/>
          </w:tcPr>
          <w:p>
            <w:pPr>
              <w:spacing w:after="20"/>
            </w:pPr>
            <w:r/>
            <w:r>
              <w:rPr>
                <w:rFonts w:ascii="Calibri" w:hAnsi="Calibri"/>
                <w:b w:val="0"/>
                <w:color w:val="243746"/>
                <w:sz w:val="17"/>
              </w:rPr>
              <w:t>8 retained; the quarantined row remains in the exception log</w:t>
            </w:r>
          </w:p>
        </w:tc>
      </w:tr>
      <w:tr>
        <w:tc>
          <w:tcPr>
            <w:tcW w:type="dxa" w:w="2952"/>
            <w:vAlign w:val="center"/>
          </w:tcPr>
          <w:p>
            <w:pPr>
              <w:spacing w:after="20"/>
            </w:pPr>
            <w:r/>
            <w:r>
              <w:rPr>
                <w:rFonts w:ascii="Calibri" w:hAnsi="Calibri"/>
                <w:b w:val="0"/>
                <w:color w:val="243746"/>
                <w:sz w:val="17"/>
              </w:rPr>
              <w:t>Missing ingredient lists</w:t>
            </w:r>
          </w:p>
        </w:tc>
        <w:tc>
          <w:tcPr>
            <w:tcW w:type="dxa" w:w="1728"/>
            <w:vAlign w:val="center"/>
          </w:tcPr>
          <w:p>
            <w:pPr>
              <w:spacing w:after="20"/>
            </w:pPr>
            <w:r/>
            <w:r>
              <w:rPr>
                <w:rFonts w:ascii="Calibri" w:hAnsi="Calibri"/>
                <w:b w:val="0"/>
                <w:color w:val="243746"/>
                <w:sz w:val="17"/>
              </w:rPr>
              <w:t>1 / 8 = 12.5%</w:t>
            </w:r>
          </w:p>
        </w:tc>
        <w:tc>
          <w:tcPr>
            <w:tcW w:type="dxa" w:w="5760"/>
            <w:vAlign w:val="center"/>
          </w:tcPr>
          <w:p>
            <w:pPr>
              <w:spacing w:after="20"/>
            </w:pPr>
            <w:r/>
            <w:r>
              <w:rPr>
                <w:rFonts w:ascii="Calibri" w:hAnsi="Calibri"/>
                <w:b w:val="0"/>
                <w:color w:val="243746"/>
                <w:sz w:val="17"/>
              </w:rPr>
              <w:t>Unknown/unreported; not treated as an empty ingredient list</w:t>
            </w:r>
          </w:p>
        </w:tc>
      </w:tr>
      <w:tr>
        <w:tc>
          <w:tcPr>
            <w:tcW w:type="dxa" w:w="2952"/>
            <w:vAlign w:val="center"/>
            <w:shd w:fill="F3F6F8"/>
          </w:tcPr>
          <w:p>
            <w:pPr>
              <w:spacing w:after="20"/>
            </w:pPr>
            <w:r/>
            <w:r>
              <w:rPr>
                <w:rFonts w:ascii="Calibri" w:hAnsi="Calibri"/>
                <w:b w:val="0"/>
                <w:color w:val="243746"/>
                <w:sz w:val="17"/>
              </w:rPr>
              <w:t>Missing or invalid ratings</w:t>
            </w:r>
          </w:p>
        </w:tc>
        <w:tc>
          <w:tcPr>
            <w:tcW w:type="dxa" w:w="1728"/>
            <w:vAlign w:val="center"/>
            <w:shd w:fill="F3F6F8"/>
          </w:tcPr>
          <w:p>
            <w:pPr>
              <w:spacing w:after="20"/>
            </w:pPr>
            <w:r/>
            <w:r>
              <w:rPr>
                <w:rFonts w:ascii="Calibri" w:hAnsi="Calibri"/>
                <w:b w:val="0"/>
                <w:color w:val="243746"/>
                <w:sz w:val="17"/>
              </w:rPr>
              <w:t>2 / 8 = 25.0%</w:t>
            </w:r>
          </w:p>
        </w:tc>
        <w:tc>
          <w:tcPr>
            <w:tcW w:type="dxa" w:w="5760"/>
            <w:vAlign w:val="center"/>
            <w:shd w:fill="F3F6F8"/>
          </w:tcPr>
          <w:p>
            <w:pPr>
              <w:spacing w:after="20"/>
            </w:pPr>
            <w:r/>
            <w:r>
              <w:rPr>
                <w:rFonts w:ascii="Calibri" w:hAnsi="Calibri"/>
                <w:b w:val="0"/>
                <w:color w:val="243746"/>
                <w:sz w:val="17"/>
              </w:rPr>
              <w:t>One blank + one out-of-range 8.2; valid ratings are on 1–5 scale</w:t>
            </w:r>
          </w:p>
        </w:tc>
      </w:tr>
      <w:tr>
        <w:tc>
          <w:tcPr>
            <w:tcW w:type="dxa" w:w="2952"/>
            <w:vAlign w:val="center"/>
          </w:tcPr>
          <w:p>
            <w:pPr>
              <w:spacing w:after="20"/>
            </w:pPr>
            <w:r/>
            <w:r>
              <w:rPr>
                <w:rFonts w:ascii="Calibri" w:hAnsi="Calibri"/>
                <w:b w:val="0"/>
                <w:color w:val="243746"/>
                <w:sz w:val="17"/>
              </w:rPr>
              <w:t>Invalid negative prices</w:t>
            </w:r>
          </w:p>
        </w:tc>
        <w:tc>
          <w:tcPr>
            <w:tcW w:type="dxa" w:w="1728"/>
            <w:vAlign w:val="center"/>
          </w:tcPr>
          <w:p>
            <w:pPr>
              <w:spacing w:after="20"/>
            </w:pPr>
            <w:r/>
            <w:r>
              <w:rPr>
                <w:rFonts w:ascii="Calibri" w:hAnsi="Calibri"/>
                <w:b w:val="0"/>
                <w:color w:val="243746"/>
                <w:sz w:val="17"/>
              </w:rPr>
              <w:t>1 / 8 = 12.5%</w:t>
            </w:r>
          </w:p>
        </w:tc>
        <w:tc>
          <w:tcPr>
            <w:tcW w:type="dxa" w:w="5760"/>
            <w:vAlign w:val="center"/>
          </w:tcPr>
          <w:p>
            <w:pPr>
              <w:spacing w:after="20"/>
            </w:pPr>
            <w:r/>
            <w:r>
              <w:rPr>
                <w:rFonts w:ascii="Calibri" w:hAnsi="Calibri"/>
                <w:b w:val="0"/>
                <w:color w:val="243746"/>
                <w:sz w:val="17"/>
              </w:rPr>
              <w:t>Set cleaned price missing; retain raw and flag for follow-up</w:t>
            </w:r>
          </w:p>
        </w:tc>
      </w:tr>
      <w:tr>
        <w:tc>
          <w:tcPr>
            <w:tcW w:type="dxa" w:w="2952"/>
            <w:vAlign w:val="center"/>
            <w:shd w:fill="F3F6F8"/>
          </w:tcPr>
          <w:p>
            <w:pPr>
              <w:spacing w:after="20"/>
            </w:pPr>
            <w:r/>
            <w:r>
              <w:rPr>
                <w:rFonts w:ascii="Calibri" w:hAnsi="Calibri"/>
                <w:b w:val="0"/>
                <w:color w:val="243746"/>
                <w:sz w:val="17"/>
              </w:rPr>
              <w:t>Review count “1,200” parsed</w:t>
            </w:r>
          </w:p>
        </w:tc>
        <w:tc>
          <w:tcPr>
            <w:tcW w:type="dxa" w:w="1728"/>
            <w:vAlign w:val="center"/>
            <w:shd w:fill="F3F6F8"/>
          </w:tcPr>
          <w:p>
            <w:pPr>
              <w:spacing w:after="20"/>
            </w:pPr>
            <w:r/>
            <w:r>
              <w:rPr>
                <w:rFonts w:ascii="Calibri" w:hAnsi="Calibri"/>
                <w:b w:val="0"/>
                <w:color w:val="243746"/>
                <w:sz w:val="17"/>
              </w:rPr>
              <w:t>1 record</w:t>
            </w:r>
          </w:p>
        </w:tc>
        <w:tc>
          <w:tcPr>
            <w:tcW w:type="dxa" w:w="5760"/>
            <w:vAlign w:val="center"/>
            <w:shd w:fill="F3F6F8"/>
          </w:tcPr>
          <w:p>
            <w:pPr>
              <w:spacing w:after="20"/>
            </w:pPr>
            <w:r/>
            <w:r>
              <w:rPr>
                <w:rFonts w:ascii="Calibri" w:hAnsi="Calibri"/>
                <w:b w:val="0"/>
                <w:color w:val="243746"/>
                <w:sz w:val="17"/>
              </w:rPr>
              <w:t>Expected integer 1200 after locale is established</w:t>
            </w:r>
          </w:p>
        </w:tc>
      </w:tr>
    </w:tbl>
    <w:p>
      <w:pPr>
        <w:spacing w:after="20"/>
      </w:pPr>
    </w:p>
    <w:p>
      <w:pPr>
        <w:spacing w:after="100"/>
      </w:pPr>
      <w:r>
        <w:t>The denominator is stated for every rate. This is essential: reporting only the number of missing ratings (“2”) is not interpretable without saying whether the denominator is 8, 10 or a larger post-filter cohort. Counts above reconcile exactly to the synthetic rows and cleaning decisions.</w:t>
      </w:r>
    </w:p>
    <w:p>
      <w:pPr>
        <w:pStyle w:val="Heading1"/>
        <w:keepNext/>
      </w:pPr>
      <w:r>
        <w:t>7. Cleaning and preprocessing workflow</w:t>
      </w:r>
    </w:p>
    <w:p>
      <w:pPr>
        <w:pStyle w:val="Heading2"/>
        <w:keepNext/>
      </w:pPr>
      <w:r>
        <w:t>7.1 Preserve and profile</w:t>
      </w:r>
    </w:p>
    <w:p>
      <w:pPr>
        <w:spacing w:after="100"/>
      </w:pPr>
      <w:r>
        <w:t>Read the source snapshot without altering it. Retain a raw directory/file, calculate a checksum, assign a run ID, and profile the input. Convert source-specific missing sentinels only after reviewing their meaning; “0”, “not applicable” and “not stated” may represent different states.</w:t>
      </w:r>
    </w:p>
    <w:p>
      <w:pPr>
        <w:pStyle w:val="Heading2"/>
        <w:keepNext/>
      </w:pPr>
      <w:r>
        <w:t>7.2 Normalize safely</w:t>
      </w:r>
    </w:p>
    <w:p>
      <w:pPr>
        <w:spacing w:after="100"/>
      </w:pPr>
      <w:r>
        <w:t>Trim outer whitespace and normalize Unicode consistently. Standardize case only for matching fields where case is non-semantic; preserve display labels. Use an explicit category alias map (for example, “Moisturizer”, “Moisturiser” -&gt; “moisturizer”) and retain the original. Do not create a global fuzzy-name merge rule. Flag near matches for review instead.</w:t>
      </w:r>
    </w:p>
    <w:p>
      <w:pPr>
        <w:pStyle w:val="Heading2"/>
        <w:keepNext/>
      </w:pPr>
      <w:r>
        <w:t>7.3 Resolve identity and duplicates</w:t>
      </w:r>
    </w:p>
    <w:p>
      <w:pPr>
        <w:spacing w:after="100"/>
      </w:pPr>
      <w:r>
        <w:t>Remove exact duplicate rows after normalizing only representation-level noise. Then check source_record_id, barcode and variant conflicts. A barcode may be missing or reused in malformed data; use a documented composite only when identity evidence supports it. If duplicate keys disagree on size, ingredients or brand, quarantine the group rather than choosing the first row silently. Report rows before/after and the survivor rule.</w:t>
      </w:r>
    </w:p>
    <w:p>
      <w:pPr>
        <w:pStyle w:val="Heading2"/>
        <w:keepNext/>
      </w:pPr>
      <w:r>
        <w:t>7.4 Parse and validate types</w:t>
      </w:r>
    </w:p>
    <w:p>
      <w:pPr>
        <w:pStyle w:val="ListBullet"/>
        <w:spacing w:after="40"/>
      </w:pPr>
      <w:r>
        <w:t>Numeric parsing: remove known currency symbols/thousands separators only when locale is known; count parse failures. Keep currency and unit columns separate.</w:t>
      </w:r>
    </w:p>
    <w:p>
      <w:pPr>
        <w:pStyle w:val="ListBullet"/>
        <w:spacing w:after="40"/>
      </w:pPr>
      <w:r>
        <w:t>Date parsing: use explicit source format/timezone. Reject ambiguous day/month values instead of guessing.</w:t>
      </w:r>
    </w:p>
    <w:p>
      <w:pPr>
        <w:pStyle w:val="ListBullet"/>
        <w:spacing w:after="40"/>
      </w:pPr>
      <w:r>
        <w:t>Ratings/counts: verify rating scale from source documentation; validate bounds and non-negative integer counts.</w:t>
      </w:r>
    </w:p>
    <w:p>
      <w:pPr>
        <w:pStyle w:val="ListBullet"/>
        <w:spacing w:after="40"/>
      </w:pPr>
      <w:r>
        <w:t>Package sizes: parse positive numeric magnitude and unit. Convert L to mL or kg to g only within the same physical dimension; do not convert mass to volume.</w:t>
      </w:r>
    </w:p>
    <w:p>
      <w:pPr>
        <w:pStyle w:val="Heading2"/>
        <w:keepNext/>
      </w:pPr>
      <w:r>
        <w:t>7.5 Handle missingness, invalid values and outliers</w:t>
      </w:r>
    </w:p>
    <w:p>
      <w:pPr>
        <w:spacing w:after="100"/>
      </w:pPr>
      <w:r>
        <w:t>Create a field-level missingness/invalidity report before any imputation. Distinguish structurally not-applicable, not reported, parse failure and out-of-domain. Correct a value only when a trustworthy source confirms the correction; otherwise preserve raw, set the cleaned value missing, and set an issue flag. For statistical outliers, first check data-entry error, unit, currency, package count and context. Retain plausible extremes and consider robust statistics, transformations or sensitivity analyses rather than automatic winsorization.</w:t>
      </w:r>
    </w:p>
    <w:p>
      <w:pPr>
        <w:pStyle w:val="Heading2"/>
        <w:keepNext/>
      </w:pPr>
      <w:r>
        <w:t>7.6 Encode/scale only for a named model</w:t>
      </w:r>
    </w:p>
    <w:p>
      <w:pPr>
        <w:spacing w:after="100"/>
      </w:pPr>
      <w:r>
        <w:t>Keep the clean analytical table human-readable. For a model, define the prediction target, observation date, eligible features and split strategy. Fit imputers, one-hot encoders and scalers on training folds only through a scikit-learn Pipeline/ColumnTransformer; then transform validation/test data. Use StandardScaler for approximately well-behaved numeric features where scale-sensitive models need it, RobustScaler for heavy-tailed predictors, and no scaling for tree models unless a specific reason exists. One-hot encode nominal category/brand; never impose arbitrary numeric order.</w:t>
      </w:r>
    </w:p>
    <w:p>
      <w:pPr>
        <w:pStyle w:val="Heading2"/>
        <w:keepNext/>
      </w:pPr>
      <w:r>
        <w:t>7.7 Reconcile and publish</w:t>
      </w:r>
    </w:p>
    <w:p>
      <w:pPr>
        <w:spacing w:after="100"/>
      </w:pPr>
      <w:r>
        <w:t>Reconcile input = retained + quarantined + explicitly removed duplicates, accounting for any other documented exclusions. Export a cleaned table, exception table, field-level audit summary, schema/data dictionary and run manifest. Read the output back and rerun constraints before marking the pipeline complete.</w:t>
      </w:r>
    </w:p>
    <w:p>
      <w:pPr>
        <w:pStyle w:val="Heading1"/>
        <w:keepNext/>
      </w:pPr>
      <w:r>
        <w:t>8. Python tools and implementation template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232"/>
            <w:vAlign w:val="center"/>
            <w:shd w:fill="17365D"/>
          </w:tcPr>
          <w:p>
            <w:pPr>
              <w:spacing w:after="20"/>
            </w:pPr>
            <w:r/>
            <w:r>
              <w:rPr>
                <w:rFonts w:ascii="Calibri" w:hAnsi="Calibri"/>
                <w:b/>
                <w:color w:val="FFFFFF"/>
                <w:sz w:val="16"/>
              </w:rPr>
              <w:t>TOOL</w:t>
            </w:r>
          </w:p>
        </w:tc>
        <w:tc>
          <w:tcPr>
            <w:tcW w:type="dxa" w:w="4536"/>
            <w:vAlign w:val="center"/>
            <w:shd w:fill="17365D"/>
          </w:tcPr>
          <w:p>
            <w:pPr>
              <w:spacing w:after="20"/>
            </w:pPr>
            <w:r/>
            <w:r>
              <w:rPr>
                <w:rFonts w:ascii="Calibri" w:hAnsi="Calibri"/>
                <w:b/>
                <w:color w:val="FFFFFF"/>
                <w:sz w:val="16"/>
              </w:rPr>
              <w:t>WHY IT FITS THIS TASK</w:t>
            </w:r>
          </w:p>
        </w:tc>
        <w:tc>
          <w:tcPr>
            <w:tcW w:type="dxa" w:w="3672"/>
            <w:vAlign w:val="center"/>
            <w:shd w:fill="17365D"/>
          </w:tcPr>
          <w:p>
            <w:pPr>
              <w:spacing w:after="20"/>
            </w:pPr>
            <w:r/>
            <w:r>
              <w:rPr>
                <w:rFonts w:ascii="Calibri" w:hAnsi="Calibri"/>
                <w:b/>
                <w:color w:val="FFFFFF"/>
                <w:sz w:val="16"/>
              </w:rPr>
              <w:t>CAUTION</w:t>
            </w:r>
          </w:p>
        </w:tc>
      </w:tr>
      <w:tr>
        <w:tc>
          <w:tcPr>
            <w:tcW w:type="dxa" w:w="2232"/>
            <w:vAlign w:val="center"/>
          </w:tcPr>
          <w:p>
            <w:pPr>
              <w:spacing w:after="20"/>
            </w:pPr>
            <w:r/>
            <w:r>
              <w:rPr>
                <w:rFonts w:ascii="Calibri" w:hAnsi="Calibri"/>
                <w:b w:val="0"/>
                <w:color w:val="243746"/>
                <w:sz w:val="16"/>
              </w:rPr>
              <w:t>pandas</w:t>
            </w:r>
          </w:p>
        </w:tc>
        <w:tc>
          <w:tcPr>
            <w:tcW w:type="dxa" w:w="4536"/>
            <w:vAlign w:val="center"/>
          </w:tcPr>
          <w:p>
            <w:pPr>
              <w:spacing w:after="20"/>
            </w:pPr>
            <w:r/>
            <w:r>
              <w:rPr>
                <w:rFonts w:ascii="Calibri" w:hAnsi="Calibri"/>
                <w:b w:val="0"/>
                <w:color w:val="243746"/>
                <w:sz w:val="16"/>
              </w:rPr>
              <w:t>Tabular I/O, type coercion, null profiling, joins, groupby summaries and reproducible transformations.</w:t>
            </w:r>
          </w:p>
        </w:tc>
        <w:tc>
          <w:tcPr>
            <w:tcW w:type="dxa" w:w="3672"/>
            <w:vAlign w:val="center"/>
          </w:tcPr>
          <w:p>
            <w:pPr>
              <w:spacing w:after="20"/>
            </w:pPr>
            <w:r/>
            <w:r>
              <w:rPr>
                <w:rFonts w:ascii="Calibri" w:hAnsi="Calibri"/>
                <w:b w:val="0"/>
                <w:color w:val="243746"/>
                <w:sz w:val="16"/>
              </w:rPr>
              <w:t>Explicit dtypes are essential for identifiers; avoid chained assignment and silent coercion.</w:t>
            </w:r>
          </w:p>
        </w:tc>
      </w:tr>
      <w:tr>
        <w:tc>
          <w:tcPr>
            <w:tcW w:type="dxa" w:w="2232"/>
            <w:vAlign w:val="center"/>
            <w:shd w:fill="F3F6F8"/>
          </w:tcPr>
          <w:p>
            <w:pPr>
              <w:spacing w:after="20"/>
            </w:pPr>
            <w:r/>
            <w:r>
              <w:rPr>
                <w:rFonts w:ascii="Calibri" w:hAnsi="Calibri"/>
                <w:b w:val="0"/>
                <w:color w:val="243746"/>
                <w:sz w:val="16"/>
              </w:rPr>
              <w:t>NumPy</w:t>
            </w:r>
          </w:p>
        </w:tc>
        <w:tc>
          <w:tcPr>
            <w:tcW w:type="dxa" w:w="4536"/>
            <w:vAlign w:val="center"/>
            <w:shd w:fill="F3F6F8"/>
          </w:tcPr>
          <w:p>
            <w:pPr>
              <w:spacing w:after="20"/>
            </w:pPr>
            <w:r/>
            <w:r>
              <w:rPr>
                <w:rFonts w:ascii="Calibri" w:hAnsi="Calibri"/>
                <w:b w:val="0"/>
                <w:color w:val="243746"/>
                <w:sz w:val="16"/>
              </w:rPr>
              <w:t>Vectorized numeric masks, missing values and robust array operations.</w:t>
            </w:r>
          </w:p>
        </w:tc>
        <w:tc>
          <w:tcPr>
            <w:tcW w:type="dxa" w:w="3672"/>
            <w:vAlign w:val="center"/>
            <w:shd w:fill="F3F6F8"/>
          </w:tcPr>
          <w:p>
            <w:pPr>
              <w:spacing w:after="20"/>
            </w:pPr>
            <w:r/>
            <w:r>
              <w:rPr>
                <w:rFonts w:ascii="Calibri" w:hAnsi="Calibri"/>
                <w:b w:val="0"/>
                <w:color w:val="243746"/>
                <w:sz w:val="16"/>
              </w:rPr>
              <w:t>Do not let NaN conversion erase the distinction between invalid and originally missing without flags.</w:t>
            </w:r>
          </w:p>
        </w:tc>
      </w:tr>
      <w:tr>
        <w:tc>
          <w:tcPr>
            <w:tcW w:type="dxa" w:w="2232"/>
            <w:vAlign w:val="center"/>
          </w:tcPr>
          <w:p>
            <w:pPr>
              <w:spacing w:after="20"/>
            </w:pPr>
            <w:r/>
            <w:r>
              <w:rPr>
                <w:rFonts w:ascii="Calibri" w:hAnsi="Calibri"/>
                <w:b w:val="0"/>
                <w:color w:val="243746"/>
                <w:sz w:val="16"/>
              </w:rPr>
              <w:t>scikit-learn</w:t>
            </w:r>
          </w:p>
        </w:tc>
        <w:tc>
          <w:tcPr>
            <w:tcW w:type="dxa" w:w="4536"/>
            <w:vAlign w:val="center"/>
          </w:tcPr>
          <w:p>
            <w:pPr>
              <w:spacing w:after="20"/>
            </w:pPr>
            <w:r/>
            <w:r>
              <w:rPr>
                <w:rFonts w:ascii="Calibri" w:hAnsi="Calibri"/>
                <w:b w:val="0"/>
                <w:color w:val="243746"/>
                <w:sz w:val="16"/>
              </w:rPr>
              <w:t>Composable train-only imputation, encoding, scaling and cross-validation pipelines.</w:t>
            </w:r>
          </w:p>
        </w:tc>
        <w:tc>
          <w:tcPr>
            <w:tcW w:type="dxa" w:w="3672"/>
            <w:vAlign w:val="center"/>
          </w:tcPr>
          <w:p>
            <w:pPr>
              <w:spacing w:after="20"/>
            </w:pPr>
            <w:r/>
            <w:r>
              <w:rPr>
                <w:rFonts w:ascii="Calibri" w:hAnsi="Calibri"/>
                <w:b w:val="0"/>
                <w:color w:val="243746"/>
                <w:sz w:val="16"/>
              </w:rPr>
              <w:t>Never fit preprocessing on the full dataset before splitting; avoid target leakage.</w:t>
            </w:r>
          </w:p>
        </w:tc>
      </w:tr>
      <w:tr>
        <w:tc>
          <w:tcPr>
            <w:tcW w:type="dxa" w:w="2232"/>
            <w:vAlign w:val="center"/>
            <w:shd w:fill="F3F6F8"/>
          </w:tcPr>
          <w:p>
            <w:pPr>
              <w:spacing w:after="20"/>
            </w:pPr>
            <w:r/>
            <w:r>
              <w:rPr>
                <w:rFonts w:ascii="Calibri" w:hAnsi="Calibri"/>
                <w:b w:val="0"/>
                <w:color w:val="243746"/>
                <w:sz w:val="16"/>
              </w:rPr>
              <w:t>matplotlib / seaborn</w:t>
            </w:r>
          </w:p>
        </w:tc>
        <w:tc>
          <w:tcPr>
            <w:tcW w:type="dxa" w:w="4536"/>
            <w:vAlign w:val="center"/>
            <w:shd w:fill="F3F6F8"/>
          </w:tcPr>
          <w:p>
            <w:pPr>
              <w:spacing w:after="20"/>
            </w:pPr>
            <w:r/>
            <w:r>
              <w:rPr>
                <w:rFonts w:ascii="Calibri" w:hAnsi="Calibri"/>
                <w:b w:val="0"/>
                <w:color w:val="243746"/>
                <w:sz w:val="16"/>
              </w:rPr>
              <w:t>Missingness, distributions, category coverage, pairwise and time plots.</w:t>
            </w:r>
          </w:p>
        </w:tc>
        <w:tc>
          <w:tcPr>
            <w:tcW w:type="dxa" w:w="3672"/>
            <w:vAlign w:val="center"/>
            <w:shd w:fill="F3F6F8"/>
          </w:tcPr>
          <w:p>
            <w:pPr>
              <w:spacing w:after="20"/>
            </w:pPr>
            <w:r/>
            <w:r>
              <w:rPr>
                <w:rFonts w:ascii="Calibri" w:hAnsi="Calibri"/>
                <w:b w:val="0"/>
                <w:color w:val="243746"/>
                <w:sz w:val="16"/>
              </w:rPr>
              <w:t>Always show denominators, units and transformations; plots do not establish causality.</w:t>
            </w:r>
          </w:p>
        </w:tc>
      </w:tr>
      <w:tr>
        <w:tc>
          <w:tcPr>
            <w:tcW w:type="dxa" w:w="2232"/>
            <w:vAlign w:val="center"/>
          </w:tcPr>
          <w:p>
            <w:pPr>
              <w:spacing w:after="20"/>
            </w:pPr>
            <w:r/>
            <w:r>
              <w:rPr>
                <w:rFonts w:ascii="Calibri" w:hAnsi="Calibri"/>
                <w:b w:val="0"/>
                <w:color w:val="243746"/>
                <w:sz w:val="16"/>
              </w:rPr>
              <w:t>pytest</w:t>
            </w:r>
          </w:p>
        </w:tc>
        <w:tc>
          <w:tcPr>
            <w:tcW w:type="dxa" w:w="4536"/>
            <w:vAlign w:val="center"/>
          </w:tcPr>
          <w:p>
            <w:pPr>
              <w:spacing w:after="20"/>
            </w:pPr>
            <w:r/>
            <w:r>
              <w:rPr>
                <w:rFonts w:ascii="Calibri" w:hAnsi="Calibri"/>
                <w:b w:val="0"/>
                <w:color w:val="243746"/>
                <w:sz w:val="16"/>
              </w:rPr>
              <w:t>Regression tests for schema, counts, ranges, uniqueness and stable transformations.</w:t>
            </w:r>
          </w:p>
        </w:tc>
        <w:tc>
          <w:tcPr>
            <w:tcW w:type="dxa" w:w="3672"/>
            <w:vAlign w:val="center"/>
          </w:tcPr>
          <w:p>
            <w:pPr>
              <w:spacing w:after="20"/>
            </w:pPr>
            <w:r/>
            <w:r>
              <w:rPr>
                <w:rFonts w:ascii="Calibri" w:hAnsi="Calibri"/>
                <w:b w:val="0"/>
                <w:color w:val="243746"/>
                <w:sz w:val="16"/>
              </w:rPr>
              <w:t>Include edge cases (leading-zero barcode, locale separators, nulls and contradictory duplicate keys).</w:t>
            </w:r>
          </w:p>
        </w:tc>
      </w:tr>
      <w:tr>
        <w:tc>
          <w:tcPr>
            <w:tcW w:type="dxa" w:w="2232"/>
            <w:vAlign w:val="center"/>
            <w:shd w:fill="F3F6F8"/>
          </w:tcPr>
          <w:p>
            <w:pPr>
              <w:spacing w:after="20"/>
            </w:pPr>
            <w:r/>
            <w:r>
              <w:rPr>
                <w:rFonts w:ascii="Calibri" w:hAnsi="Calibri"/>
                <w:b w:val="0"/>
                <w:color w:val="243746"/>
                <w:sz w:val="16"/>
              </w:rPr>
              <w:t>hashlib / json / logging</w:t>
            </w:r>
          </w:p>
        </w:tc>
        <w:tc>
          <w:tcPr>
            <w:tcW w:type="dxa" w:w="4536"/>
            <w:vAlign w:val="center"/>
            <w:shd w:fill="F3F6F8"/>
          </w:tcPr>
          <w:p>
            <w:pPr>
              <w:spacing w:after="20"/>
            </w:pPr>
            <w:r/>
            <w:r>
              <w:rPr>
                <w:rFonts w:ascii="Calibri" w:hAnsi="Calibri"/>
                <w:b w:val="0"/>
                <w:color w:val="243746"/>
                <w:sz w:val="16"/>
              </w:rPr>
              <w:t>Input checksums, machine-readable run manifests and diagnostic logging.</w:t>
            </w:r>
          </w:p>
        </w:tc>
        <w:tc>
          <w:tcPr>
            <w:tcW w:type="dxa" w:w="3672"/>
            <w:vAlign w:val="center"/>
            <w:shd w:fill="F3F6F8"/>
          </w:tcPr>
          <w:p>
            <w:pPr>
              <w:spacing w:after="20"/>
            </w:pPr>
            <w:r/>
            <w:r>
              <w:rPr>
                <w:rFonts w:ascii="Calibri" w:hAnsi="Calibri"/>
                <w:b w:val="0"/>
                <w:color w:val="243746"/>
                <w:sz w:val="16"/>
              </w:rPr>
              <w:t>Do not log personal or sensitive data; keep full raw records out of routine logs.</w:t>
            </w:r>
          </w:p>
        </w:tc>
      </w:tr>
    </w:tbl>
    <w:p>
      <w:pPr>
        <w:spacing w:after="20"/>
      </w:pPr>
    </w:p>
    <w:p>
      <w:pPr>
        <w:pStyle w:val="Heading2"/>
        <w:keepNext/>
      </w:pPr>
      <w:r>
        <w:t>8.1 Reference implementation (adapt column names and source rules)</w:t>
      </w:r>
    </w:p>
    <w:p>
      <w:pPr>
        <w:spacing w:after="100"/>
      </w:pPr>
      <w:r>
        <w:t>This is a concise implementation template for the cleaning core. It assumes a CSV with source_record_id, product_name, category, ingredients_text, size, price, rating and review_count. Currency/locale interpretation must be confirmed before parsing; the example intentionally refuses to infer an ambiguous currency or decimal convention.</w:t>
      </w:r>
    </w:p>
    <w:p>
      <w:pPr>
        <w:spacing w:after="0" w:line="240" w:lineRule="auto"/>
        <w:ind w:left="259" w:right="173"/>
        <w:shd w:fill="F1F4F6"/>
      </w:pPr>
      <w:r>
        <w:rPr>
          <w:rFonts w:ascii="Consolas" w:hAnsi="Consolas"/>
          <w:color w:val="263238"/>
          <w:sz w:val="15"/>
        </w:rPr>
        <w:t>import pandas as pd</w:t>
      </w:r>
    </w:p>
    <w:p>
      <w:pPr>
        <w:spacing w:after="0" w:line="240" w:lineRule="auto"/>
        <w:ind w:left="259" w:right="173"/>
        <w:shd w:fill="F1F4F6"/>
      </w:pPr>
      <w:r>
        <w:rPr>
          <w:rFonts w:ascii="Consolas" w:hAnsi="Consolas"/>
          <w:color w:val="263238"/>
          <w:sz w:val="15"/>
        </w:rPr>
        <w:t>import numpy as np</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def clean_catalog(raw: pd.DataFrame):</w:t>
      </w:r>
    </w:p>
    <w:p>
      <w:pPr>
        <w:spacing w:after="0" w:line="240" w:lineRule="auto"/>
        <w:ind w:left="259" w:right="173"/>
        <w:shd w:fill="F1F4F6"/>
      </w:pPr>
      <w:r>
        <w:rPr>
          <w:rFonts w:ascii="Consolas" w:hAnsi="Consolas"/>
          <w:color w:val="263238"/>
          <w:sz w:val="15"/>
        </w:rPr>
        <w:t xml:space="preserve">    required = {"source_record_id", "product_name", "category",</w:t>
      </w:r>
    </w:p>
    <w:p>
      <w:pPr>
        <w:spacing w:after="0" w:line="240" w:lineRule="auto"/>
        <w:ind w:left="259" w:right="173"/>
        <w:shd w:fill="F1F4F6"/>
      </w:pPr>
      <w:r>
        <w:rPr>
          <w:rFonts w:ascii="Consolas" w:hAnsi="Consolas"/>
          <w:color w:val="263238"/>
          <w:sz w:val="15"/>
        </w:rPr>
        <w:t xml:space="preserve">                "ingredients_text", "size", "price", "rating", "review_count"}</w:t>
      </w:r>
    </w:p>
    <w:p>
      <w:pPr>
        <w:spacing w:after="0" w:line="240" w:lineRule="auto"/>
        <w:ind w:left="259" w:right="173"/>
        <w:shd w:fill="F1F4F6"/>
      </w:pPr>
      <w:r>
        <w:rPr>
          <w:rFonts w:ascii="Consolas" w:hAnsi="Consolas"/>
          <w:color w:val="263238"/>
          <w:sz w:val="15"/>
        </w:rPr>
        <w:t xml:space="preserve">    missing_columns = required - set(raw.columns)</w:t>
      </w:r>
    </w:p>
    <w:p>
      <w:pPr>
        <w:spacing w:after="0" w:line="240" w:lineRule="auto"/>
        <w:ind w:left="259" w:right="173"/>
        <w:shd w:fill="F1F4F6"/>
      </w:pPr>
      <w:r>
        <w:rPr>
          <w:rFonts w:ascii="Consolas" w:hAnsi="Consolas"/>
          <w:color w:val="263238"/>
          <w:sz w:val="15"/>
        </w:rPr>
        <w:t xml:space="preserve">    if missing_columns:</w:t>
      </w:r>
    </w:p>
    <w:p>
      <w:pPr>
        <w:spacing w:after="0" w:line="240" w:lineRule="auto"/>
        <w:ind w:left="259" w:right="173"/>
        <w:shd w:fill="F1F4F6"/>
      </w:pPr>
      <w:r>
        <w:rPr>
          <w:rFonts w:ascii="Consolas" w:hAnsi="Consolas"/>
          <w:color w:val="263238"/>
          <w:sz w:val="15"/>
        </w:rPr>
        <w:t xml:space="preserve">        raise ValueError(f"Missing required columns: {sorted(missing_columns)}")</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df = raw.copy()</w:t>
      </w:r>
    </w:p>
    <w:p>
      <w:pPr>
        <w:spacing w:after="0" w:line="240" w:lineRule="auto"/>
        <w:ind w:left="259" w:right="173"/>
        <w:shd w:fill="F1F4F6"/>
      </w:pPr>
      <w:r>
        <w:rPr>
          <w:rFonts w:ascii="Consolas" w:hAnsi="Consolas"/>
          <w:color w:val="263238"/>
          <w:sz w:val="15"/>
        </w:rPr>
        <w:t xml:space="preserve">    df["source_record_id"] = df["source_record_id"].astype("string").str.strip()</w:t>
      </w:r>
    </w:p>
    <w:p>
      <w:pPr>
        <w:spacing w:after="0" w:line="240" w:lineRule="auto"/>
        <w:ind w:left="259" w:right="173"/>
        <w:shd w:fill="F1F4F6"/>
      </w:pPr>
      <w:r>
        <w:rPr>
          <w:rFonts w:ascii="Consolas" w:hAnsi="Consolas"/>
          <w:color w:val="263238"/>
          <w:sz w:val="15"/>
        </w:rPr>
        <w:t xml:space="preserve">    df["product_name_raw"] = df["product_name"].astype("string")</w:t>
      </w:r>
    </w:p>
    <w:p>
      <w:pPr>
        <w:spacing w:after="0" w:line="240" w:lineRule="auto"/>
        <w:ind w:left="259" w:right="173"/>
        <w:shd w:fill="F1F4F6"/>
      </w:pPr>
      <w:r>
        <w:rPr>
          <w:rFonts w:ascii="Consolas" w:hAnsi="Consolas"/>
          <w:color w:val="263238"/>
          <w:sz w:val="15"/>
        </w:rPr>
        <w:t xml:space="preserve">    df["product_name"] = df["product_name_raw"].str.strip()</w:t>
      </w:r>
    </w:p>
    <w:p>
      <w:pPr>
        <w:spacing w:after="0" w:line="240" w:lineRule="auto"/>
        <w:ind w:left="259" w:right="173"/>
        <w:shd w:fill="F1F4F6"/>
      </w:pPr>
      <w:r>
        <w:rPr>
          <w:rFonts w:ascii="Consolas" w:hAnsi="Consolas"/>
          <w:color w:val="263238"/>
          <w:sz w:val="15"/>
        </w:rPr>
        <w:t xml:space="preserve">    df["category_raw"] = df["category"].astype("string")</w:t>
      </w:r>
    </w:p>
    <w:p>
      <w:pPr>
        <w:spacing w:after="0" w:line="240" w:lineRule="auto"/>
        <w:ind w:left="259" w:right="173"/>
        <w:shd w:fill="F1F4F6"/>
      </w:pPr>
      <w:r>
        <w:rPr>
          <w:rFonts w:ascii="Consolas" w:hAnsi="Consolas"/>
          <w:color w:val="263238"/>
          <w:sz w:val="15"/>
        </w:rPr>
        <w:t xml:space="preserve">    df["category_norm"] = df["category_raw"].str.strip().str.casefold()</w:t>
      </w:r>
    </w:p>
    <w:p>
      <w:pPr>
        <w:spacing w:after="0" w:line="240" w:lineRule="auto"/>
        <w:ind w:left="259" w:right="173"/>
        <w:shd w:fill="F1F4F6"/>
      </w:pPr>
      <w:r>
        <w:rPr>
          <w:rFonts w:ascii="Consolas" w:hAnsi="Consolas"/>
          <w:color w:val="263238"/>
          <w:sz w:val="15"/>
        </w:rPr>
        <w:t xml:space="preserve">    aliases = {"moisturizer": "moisturizer", "moisturiser": "moisturizer",</w:t>
      </w:r>
    </w:p>
    <w:p>
      <w:pPr>
        <w:spacing w:after="0" w:line="240" w:lineRule="auto"/>
        <w:ind w:left="259" w:right="173"/>
        <w:shd w:fill="F1F4F6"/>
      </w:pPr>
      <w:r>
        <w:rPr>
          <w:rFonts w:ascii="Consolas" w:hAnsi="Consolas"/>
          <w:color w:val="263238"/>
          <w:sz w:val="15"/>
        </w:rPr>
        <w:t xml:space="preserve">               "sun care": "sun care", "suncare": "sun care"}</w:t>
      </w:r>
    </w:p>
    <w:p>
      <w:pPr>
        <w:spacing w:after="0" w:line="240" w:lineRule="auto"/>
        <w:ind w:left="259" w:right="173"/>
        <w:shd w:fill="F1F4F6"/>
      </w:pPr>
      <w:r>
        <w:rPr>
          <w:rFonts w:ascii="Consolas" w:hAnsi="Consolas"/>
          <w:color w:val="263238"/>
          <w:sz w:val="15"/>
        </w:rPr>
        <w:t xml:space="preserve">    df["category"] = df["category_norm"].map(aliases).fillna(df["category_norm"])</w:t>
      </w:r>
    </w:p>
    <w:p>
      <w:pPr>
        <w:spacing w:after="0" w:line="240" w:lineRule="auto"/>
        <w:ind w:left="259" w:right="173"/>
        <w:shd w:fill="F1F4F6"/>
      </w:pPr>
      <w:r>
        <w:rPr>
          <w:rFonts w:ascii="Consolas" w:hAnsi="Consolas"/>
          <w:color w:val="263238"/>
          <w:sz w:val="15"/>
        </w:rPr>
        <w:t xml:space="preserve">    df["ingredients_raw"] = df["ingredients_text"].astype("string")</w:t>
      </w:r>
    </w:p>
    <w:p>
      <w:pPr>
        <w:spacing w:after="0" w:line="240" w:lineRule="auto"/>
        <w:ind w:left="259" w:right="173"/>
        <w:shd w:fill="F1F4F6"/>
      </w:pPr>
      <w:r>
        <w:rPr>
          <w:rFonts w:ascii="Consolas" w:hAnsi="Consolas"/>
          <w:color w:val="263238"/>
          <w:sz w:val="15"/>
        </w:rPr>
        <w:t xml:space="preserve">    df["ingredients_missing"] = (</w:t>
      </w:r>
    </w:p>
    <w:p>
      <w:pPr>
        <w:spacing w:after="0" w:line="240" w:lineRule="auto"/>
        <w:ind w:left="259" w:right="173"/>
        <w:shd w:fill="F1F4F6"/>
      </w:pPr>
      <w:r>
        <w:rPr>
          <w:rFonts w:ascii="Consolas" w:hAnsi="Consolas"/>
          <w:color w:val="263238"/>
          <w:sz w:val="15"/>
        </w:rPr>
        <w:t xml:space="preserve">        df["ingredients_raw"].str.strip().isna()</w:t>
      </w:r>
    </w:p>
    <w:p>
      <w:pPr>
        <w:spacing w:after="0" w:line="240" w:lineRule="auto"/>
        <w:ind w:left="259" w:right="173"/>
        <w:shd w:fill="F1F4F6"/>
      </w:pPr>
      <w:r>
        <w:rPr>
          <w:rFonts w:ascii="Consolas" w:hAnsi="Consolas"/>
          <w:color w:val="263238"/>
          <w:sz w:val="15"/>
        </w:rPr>
        <w:t xml:space="preserve">        | df["ingredients_raw"].str.strip().eq("")</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 Exact repeats only. Conflicting identity keys require a separate review.</w:t>
      </w:r>
    </w:p>
    <w:p>
      <w:pPr>
        <w:spacing w:after="0" w:line="240" w:lineRule="auto"/>
        <w:ind w:left="259" w:right="173"/>
        <w:shd w:fill="F1F4F6"/>
      </w:pPr>
      <w:r>
        <w:rPr>
          <w:rFonts w:ascii="Consolas" w:hAnsi="Consolas"/>
          <w:color w:val="263238"/>
          <w:sz w:val="15"/>
        </w:rPr>
        <w:t xml:space="preserve">    exact_duplicate = df.duplicated(keep="first")</w:t>
      </w:r>
    </w:p>
    <w:p>
      <w:pPr>
        <w:spacing w:after="0" w:line="240" w:lineRule="auto"/>
        <w:ind w:left="259" w:right="173"/>
        <w:shd w:fill="F1F4F6"/>
      </w:pPr>
      <w:r>
        <w:rPr>
          <w:rFonts w:ascii="Consolas" w:hAnsi="Consolas"/>
          <w:color w:val="263238"/>
          <w:sz w:val="15"/>
        </w:rPr>
        <w:t xml:space="preserve">    df = df.loc[~exact_duplicate].copy()</w:t>
      </w:r>
    </w:p>
    <w:p>
      <w:pPr>
        <w:spacing w:after="0" w:line="240" w:lineRule="auto"/>
        <w:ind w:left="259" w:right="173"/>
        <w:shd w:fill="F1F4F6"/>
      </w:pPr>
      <w:r>
        <w:rPr>
          <w:rFonts w:ascii="Consolas" w:hAnsi="Consolas"/>
          <w:color w:val="263238"/>
          <w:sz w:val="15"/>
        </w:rPr>
        <w:t xml:space="preserve">    missing_id = df["source_record_id"].isna() | df["source_record_id"].eq("")</w:t>
      </w:r>
    </w:p>
    <w:p>
      <w:pPr>
        <w:spacing w:after="0" w:line="240" w:lineRule="auto"/>
        <w:ind w:left="259" w:right="173"/>
        <w:shd w:fill="F1F4F6"/>
      </w:pPr>
      <w:r>
        <w:rPr>
          <w:rFonts w:ascii="Consolas" w:hAnsi="Consolas"/>
          <w:color w:val="263238"/>
          <w:sz w:val="15"/>
        </w:rPr>
        <w:t xml:space="preserve">    missing_name = df["product_name"].isna() | df["product_name"].eq("")</w:t>
      </w:r>
    </w:p>
    <w:p>
      <w:pPr>
        <w:spacing w:after="0" w:line="240" w:lineRule="auto"/>
        <w:ind w:left="259" w:right="173"/>
        <w:shd w:fill="F1F4F6"/>
      </w:pPr>
      <w:r>
        <w:rPr>
          <w:rFonts w:ascii="Consolas" w:hAnsi="Consolas"/>
          <w:color w:val="263238"/>
          <w:sz w:val="15"/>
        </w:rPr>
        <w:t xml:space="preserve">    quarantine = df.loc[missing_id | missing_name].copy()</w:t>
      </w:r>
    </w:p>
    <w:p>
      <w:pPr>
        <w:spacing w:after="0" w:line="240" w:lineRule="auto"/>
        <w:ind w:left="259" w:right="173"/>
        <w:shd w:fill="F1F4F6"/>
      </w:pPr>
      <w:r>
        <w:rPr>
          <w:rFonts w:ascii="Consolas" w:hAnsi="Consolas"/>
          <w:color w:val="263238"/>
          <w:sz w:val="15"/>
        </w:rPr>
        <w:t xml:space="preserve">    quarantine["quarantine_reason"] = np.where(</w:t>
      </w:r>
    </w:p>
    <w:p>
      <w:pPr>
        <w:spacing w:after="0" w:line="240" w:lineRule="auto"/>
        <w:ind w:left="259" w:right="173"/>
        <w:shd w:fill="F1F4F6"/>
      </w:pPr>
      <w:r>
        <w:rPr>
          <w:rFonts w:ascii="Consolas" w:hAnsi="Consolas"/>
          <w:color w:val="263238"/>
          <w:sz w:val="15"/>
        </w:rPr>
        <w:t xml:space="preserve">        missing_id.loc[quarantine.index], "missing_source_record_id",</w:t>
      </w:r>
    </w:p>
    <w:p>
      <w:pPr>
        <w:spacing w:after="0" w:line="240" w:lineRule="auto"/>
        <w:ind w:left="259" w:right="173"/>
        <w:shd w:fill="F1F4F6"/>
      </w:pPr>
      <w:r>
        <w:rPr>
          <w:rFonts w:ascii="Consolas" w:hAnsi="Consolas"/>
          <w:color w:val="263238"/>
          <w:sz w:val="15"/>
        </w:rPr>
        <w:t xml:space="preserve">        "missing_product_name"</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keep = df.loc[~(missing_id | missing_name)].copy()</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 Apply only after confirming the source rating scale is 1–5.</w:t>
      </w:r>
    </w:p>
    <w:p>
      <w:pPr>
        <w:spacing w:after="0" w:line="240" w:lineRule="auto"/>
        <w:ind w:left="259" w:right="173"/>
        <w:shd w:fill="F1F4F6"/>
      </w:pPr>
      <w:r>
        <w:rPr>
          <w:rFonts w:ascii="Consolas" w:hAnsi="Consolas"/>
          <w:color w:val="263238"/>
          <w:sz w:val="15"/>
        </w:rPr>
        <w:t xml:space="preserve">    rating_raw = keep["rating"].astype("string").str.strip()</w:t>
      </w:r>
    </w:p>
    <w:p>
      <w:pPr>
        <w:spacing w:after="0" w:line="240" w:lineRule="auto"/>
        <w:ind w:left="259" w:right="173"/>
        <w:shd w:fill="F1F4F6"/>
      </w:pPr>
      <w:r>
        <w:rPr>
          <w:rFonts w:ascii="Consolas" w:hAnsi="Consolas"/>
          <w:color w:val="263238"/>
          <w:sz w:val="15"/>
        </w:rPr>
        <w:t xml:space="preserve">    keep["rating_raw"] = rating_raw</w:t>
      </w:r>
    </w:p>
    <w:p>
      <w:pPr>
        <w:spacing w:after="0" w:line="240" w:lineRule="auto"/>
        <w:ind w:left="259" w:right="173"/>
        <w:shd w:fill="F1F4F6"/>
      </w:pPr>
      <w:r>
        <w:rPr>
          <w:rFonts w:ascii="Consolas" w:hAnsi="Consolas"/>
          <w:color w:val="263238"/>
          <w:sz w:val="15"/>
        </w:rPr>
        <w:t xml:space="preserve">    keep["rating"] = pd.to_numeric(rating_raw, errors="coerce")</w:t>
      </w:r>
    </w:p>
    <w:p>
      <w:pPr>
        <w:spacing w:after="0" w:line="240" w:lineRule="auto"/>
        <w:ind w:left="259" w:right="173"/>
        <w:shd w:fill="F1F4F6"/>
      </w:pPr>
      <w:r>
        <w:rPr>
          <w:rFonts w:ascii="Consolas" w:hAnsi="Consolas"/>
          <w:color w:val="263238"/>
          <w:sz w:val="15"/>
        </w:rPr>
        <w:t xml:space="preserve">    keep["rating_invalid_range"] = keep["rating"].notna() &amp; ~keep["rating"].between(1, 5)</w:t>
      </w:r>
    </w:p>
    <w:p>
      <w:pPr>
        <w:spacing w:after="0" w:line="240" w:lineRule="auto"/>
        <w:ind w:left="259" w:right="173"/>
        <w:shd w:fill="F1F4F6"/>
      </w:pPr>
      <w:r>
        <w:rPr>
          <w:rFonts w:ascii="Consolas" w:hAnsi="Consolas"/>
          <w:color w:val="263238"/>
          <w:sz w:val="15"/>
        </w:rPr>
        <w:t xml:space="preserve">    keep.loc[keep["rating_invalid_range"], "rating"] = np.nan</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 Assumes review_count uses comma as a thousands separator.</w:t>
      </w:r>
    </w:p>
    <w:p>
      <w:pPr>
        <w:spacing w:after="0" w:line="240" w:lineRule="auto"/>
        <w:ind w:left="259" w:right="173"/>
        <w:shd w:fill="F1F4F6"/>
      </w:pPr>
      <w:r>
        <w:rPr>
          <w:rFonts w:ascii="Consolas" w:hAnsi="Consolas"/>
          <w:color w:val="263238"/>
          <w:sz w:val="15"/>
        </w:rPr>
        <w:t xml:space="preserve">    # Change this rule for other locales; log parse failures.</w:t>
      </w:r>
    </w:p>
    <w:p>
      <w:pPr>
        <w:spacing w:after="0" w:line="240" w:lineRule="auto"/>
        <w:ind w:left="259" w:right="173"/>
        <w:shd w:fill="F1F4F6"/>
      </w:pPr>
      <w:r>
        <w:rPr>
          <w:rFonts w:ascii="Consolas" w:hAnsi="Consolas"/>
          <w:color w:val="263238"/>
          <w:sz w:val="15"/>
        </w:rPr>
        <w:t xml:space="preserve">    count_raw = keep["review_count"].astype("string").str.strip()</w:t>
      </w:r>
    </w:p>
    <w:p>
      <w:pPr>
        <w:spacing w:after="0" w:line="240" w:lineRule="auto"/>
        <w:ind w:left="259" w:right="173"/>
        <w:shd w:fill="F1F4F6"/>
      </w:pPr>
      <w:r>
        <w:rPr>
          <w:rFonts w:ascii="Consolas" w:hAnsi="Consolas"/>
          <w:color w:val="263238"/>
          <w:sz w:val="15"/>
        </w:rPr>
        <w:t xml:space="preserve">    count_num = pd.to_numeric(count_raw.str.replace(",", "", regex=False), errors="coerce")</w:t>
      </w:r>
    </w:p>
    <w:p>
      <w:pPr>
        <w:spacing w:after="0" w:line="240" w:lineRule="auto"/>
        <w:ind w:left="259" w:right="173"/>
        <w:shd w:fill="F1F4F6"/>
      </w:pPr>
      <w:r>
        <w:rPr>
          <w:rFonts w:ascii="Consolas" w:hAnsi="Consolas"/>
          <w:color w:val="263238"/>
          <w:sz w:val="15"/>
        </w:rPr>
        <w:t xml:space="preserve">    invalid_count = count_num.notna() &amp; ((count_num &lt; 0) | (count_num % 1 != 0))</w:t>
      </w:r>
    </w:p>
    <w:p>
      <w:pPr>
        <w:spacing w:after="0" w:line="240" w:lineRule="auto"/>
        <w:ind w:left="259" w:right="173"/>
        <w:shd w:fill="F1F4F6"/>
      </w:pPr>
      <w:r>
        <w:rPr>
          <w:rFonts w:ascii="Consolas" w:hAnsi="Consolas"/>
          <w:color w:val="263238"/>
          <w:sz w:val="15"/>
        </w:rPr>
        <w:t xml:space="preserve">    keep["review_count_invalid"] = invalid_count</w:t>
      </w:r>
    </w:p>
    <w:p>
      <w:pPr>
        <w:spacing w:after="0" w:line="240" w:lineRule="auto"/>
        <w:ind w:left="259" w:right="173"/>
        <w:shd w:fill="F1F4F6"/>
      </w:pPr>
      <w:r>
        <w:rPr>
          <w:rFonts w:ascii="Consolas" w:hAnsi="Consolas"/>
          <w:color w:val="263238"/>
          <w:sz w:val="15"/>
        </w:rPr>
        <w:t xml:space="preserve">    keep["review_count"] = count_num.mask(invalid_count)</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 Parse price only under a confirmed source-specific locale/currency rule.</w:t>
      </w:r>
    </w:p>
    <w:p>
      <w:pPr>
        <w:spacing w:after="0" w:line="240" w:lineRule="auto"/>
        <w:ind w:left="259" w:right="173"/>
        <w:shd w:fill="F1F4F6"/>
      </w:pPr>
      <w:r>
        <w:rPr>
          <w:rFonts w:ascii="Consolas" w:hAnsi="Consolas"/>
          <w:color w:val="263238"/>
          <w:sz w:val="15"/>
        </w:rPr>
        <w:t xml:space="preserve">    price_raw = keep["price"].astype("string").str.strip()</w:t>
      </w:r>
    </w:p>
    <w:p>
      <w:pPr>
        <w:spacing w:after="0" w:line="240" w:lineRule="auto"/>
        <w:ind w:left="259" w:right="173"/>
        <w:shd w:fill="F1F4F6"/>
      </w:pPr>
      <w:r>
        <w:rPr>
          <w:rFonts w:ascii="Consolas" w:hAnsi="Consolas"/>
          <w:color w:val="263238"/>
          <w:sz w:val="15"/>
        </w:rPr>
        <w:t xml:space="preserve">    keep["price_raw"] = price_raw</w:t>
      </w:r>
    </w:p>
    <w:p>
      <w:pPr>
        <w:spacing w:after="0" w:line="240" w:lineRule="auto"/>
        <w:ind w:left="259" w:right="173"/>
        <w:shd w:fill="F1F4F6"/>
      </w:pPr>
      <w:r>
        <w:rPr>
          <w:rFonts w:ascii="Consolas" w:hAnsi="Consolas"/>
          <w:color w:val="263238"/>
          <w:sz w:val="15"/>
        </w:rPr>
        <w:t xml:space="preserve">    price_num = pd.to_numeric(price_raw.str.replace("$", "", regex=False), errors="coerce")</w:t>
      </w:r>
    </w:p>
    <w:p>
      <w:pPr>
        <w:spacing w:after="0" w:line="240" w:lineRule="auto"/>
        <w:ind w:left="259" w:right="173"/>
        <w:shd w:fill="F1F4F6"/>
      </w:pPr>
      <w:r>
        <w:rPr>
          <w:rFonts w:ascii="Consolas" w:hAnsi="Consolas"/>
          <w:color w:val="263238"/>
          <w:sz w:val="15"/>
        </w:rPr>
        <w:t xml:space="preserve">    keep["price_invalid_negative"] = price_num.notna() &amp; (price_num &lt; 0)</w:t>
      </w:r>
    </w:p>
    <w:p>
      <w:pPr>
        <w:spacing w:after="0" w:line="240" w:lineRule="auto"/>
        <w:ind w:left="259" w:right="173"/>
        <w:shd w:fill="F1F4F6"/>
      </w:pPr>
      <w:r>
        <w:rPr>
          <w:rFonts w:ascii="Consolas" w:hAnsi="Consolas"/>
          <w:color w:val="263238"/>
          <w:sz w:val="15"/>
        </w:rPr>
        <w:t xml:space="preserve">    keep["price"] = price_num.mask(keep["price_invalid_negative"])</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audit = {</w:t>
      </w:r>
    </w:p>
    <w:p>
      <w:pPr>
        <w:spacing w:after="0" w:line="240" w:lineRule="auto"/>
        <w:ind w:left="259" w:right="173"/>
        <w:shd w:fill="F1F4F6"/>
      </w:pPr>
      <w:r>
        <w:rPr>
          <w:rFonts w:ascii="Consolas" w:hAnsi="Consolas"/>
          <w:color w:val="263238"/>
          <w:sz w:val="15"/>
        </w:rPr>
        <w:t xml:space="preserve">        "rows_after_exact_dedup": int(len(df)),</w:t>
      </w:r>
    </w:p>
    <w:p>
      <w:pPr>
        <w:spacing w:after="0" w:line="240" w:lineRule="auto"/>
        <w:ind w:left="259" w:right="173"/>
        <w:shd w:fill="F1F4F6"/>
      </w:pPr>
      <w:r>
        <w:rPr>
          <w:rFonts w:ascii="Consolas" w:hAnsi="Consolas"/>
          <w:color w:val="263238"/>
          <w:sz w:val="15"/>
        </w:rPr>
        <w:t xml:space="preserve">        "quarantined_rows": int(len(quarantine)),</w:t>
      </w:r>
    </w:p>
    <w:p>
      <w:pPr>
        <w:spacing w:after="0" w:line="240" w:lineRule="auto"/>
        <w:ind w:left="259" w:right="173"/>
        <w:shd w:fill="F1F4F6"/>
      </w:pPr>
      <w:r>
        <w:rPr>
          <w:rFonts w:ascii="Consolas" w:hAnsi="Consolas"/>
          <w:color w:val="263238"/>
          <w:sz w:val="15"/>
        </w:rPr>
        <w:t xml:space="preserve">        "analysis_rows": int(len(keep)),</w:t>
      </w:r>
    </w:p>
    <w:p>
      <w:pPr>
        <w:spacing w:after="0" w:line="240" w:lineRule="auto"/>
        <w:ind w:left="259" w:right="173"/>
        <w:shd w:fill="F1F4F6"/>
      </w:pPr>
      <w:r>
        <w:rPr>
          <w:rFonts w:ascii="Consolas" w:hAnsi="Consolas"/>
          <w:color w:val="263238"/>
          <w:sz w:val="15"/>
        </w:rPr>
        <w:t xml:space="preserve">        "missing_ingredient_lists": int(keep["ingredients_missing"].sum()),</w:t>
      </w:r>
    </w:p>
    <w:p>
      <w:pPr>
        <w:spacing w:after="0" w:line="240" w:lineRule="auto"/>
        <w:ind w:left="259" w:right="173"/>
        <w:shd w:fill="F1F4F6"/>
      </w:pPr>
      <w:r>
        <w:rPr>
          <w:rFonts w:ascii="Consolas" w:hAnsi="Consolas"/>
          <w:color w:val="263238"/>
          <w:sz w:val="15"/>
        </w:rPr>
        <w:t xml:space="preserve">        "invalid_ratings": int(keep["rating_invalid_range"].sum()),</w:t>
      </w:r>
    </w:p>
    <w:p>
      <w:pPr>
        <w:spacing w:after="0" w:line="240" w:lineRule="auto"/>
        <w:ind w:left="259" w:right="173"/>
        <w:shd w:fill="F1F4F6"/>
      </w:pPr>
      <w:r>
        <w:rPr>
          <w:rFonts w:ascii="Consolas" w:hAnsi="Consolas"/>
          <w:color w:val="263238"/>
          <w:sz w:val="15"/>
        </w:rPr>
        <w:t xml:space="preserve">        "invalid_negative_prices": int(keep["price_invalid_negative"].sum()),</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xml:space="preserve">    return keep, quarantine, audit</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 Example:</w:t>
      </w:r>
    </w:p>
    <w:p>
      <w:pPr>
        <w:spacing w:after="0" w:line="240" w:lineRule="auto"/>
        <w:ind w:left="259" w:right="173"/>
        <w:shd w:fill="F1F4F6"/>
      </w:pPr>
      <w:r>
        <w:rPr>
          <w:rFonts w:ascii="Consolas" w:hAnsi="Consolas"/>
          <w:color w:val="263238"/>
          <w:sz w:val="15"/>
        </w:rPr>
        <w:t># raw = pd.read_csv("raw_snapshot.csv", dtype={"barcode": "string",</w:t>
      </w:r>
    </w:p>
    <w:p>
      <w:pPr>
        <w:spacing w:after="0" w:line="240" w:lineRule="auto"/>
        <w:ind w:left="259" w:right="173"/>
        <w:shd w:fill="F1F4F6"/>
      </w:pPr>
      <w:r>
        <w:rPr>
          <w:rFonts w:ascii="Consolas" w:hAnsi="Consolas"/>
          <w:color w:val="263238"/>
          <w:sz w:val="15"/>
        </w:rPr>
        <w:t>#                                            "source_record_id": "string"})</w:t>
      </w:r>
    </w:p>
    <w:p>
      <w:pPr>
        <w:spacing w:after="0" w:line="240" w:lineRule="auto"/>
        <w:ind w:left="259" w:right="173"/>
        <w:shd w:fill="F1F4F6"/>
      </w:pPr>
      <w:r>
        <w:rPr>
          <w:rFonts w:ascii="Consolas" w:hAnsi="Consolas"/>
          <w:color w:val="263238"/>
          <w:sz w:val="15"/>
        </w:rPr>
        <w:t># cleaned, exceptions, audit = clean_catalog(raw)</w:t>
      </w:r>
    </w:p>
    <w:p>
      <w:pPr>
        <w:spacing w:after="0" w:line="240" w:lineRule="auto"/>
        <w:ind w:left="259" w:right="173"/>
        <w:shd w:fill="F1F4F6"/>
      </w:pPr>
      <w:r>
        <w:rPr>
          <w:rFonts w:ascii="Consolas" w:hAnsi="Consolas"/>
          <w:color w:val="263238"/>
          <w:sz w:val="15"/>
        </w:rPr>
        <w:t># assert cleaned["source_record_id"].is_unique</w:t>
      </w:r>
    </w:p>
    <w:p>
      <w:pPr>
        <w:spacing w:after="0" w:line="240" w:lineRule="auto"/>
        <w:ind w:left="259" w:right="173"/>
        <w:shd w:fill="F1F4F6"/>
      </w:pPr>
      <w:r>
        <w:rPr>
          <w:rFonts w:ascii="Consolas" w:hAnsi="Consolas"/>
          <w:color w:val="263238"/>
          <w:sz w:val="15"/>
        </w:rPr>
        <w:t># assert cleaned["rating"].dropna().between(1, 5).all()</w:t>
      </w:r>
    </w:p>
    <w:p>
      <w:pPr>
        <w:spacing w:after="0" w:line="240" w:lineRule="auto"/>
        <w:ind w:left="259" w:right="173"/>
        <w:shd w:fill="F1F4F6"/>
      </w:pPr>
      <w:r>
        <w:rPr>
          <w:rFonts w:ascii="Consolas" w:hAnsi="Consolas"/>
          <w:color w:val="263238"/>
          <w:sz w:val="15"/>
        </w:rPr>
        <w:t># cleaned.to_csv("cleaned_catalog.csv", index=False)</w:t>
      </w:r>
    </w:p>
    <w:p>
      <w:pPr>
        <w:spacing w:after="0" w:line="240" w:lineRule="auto"/>
        <w:ind w:left="259" w:right="173"/>
        <w:shd w:fill="F1F4F6"/>
      </w:pPr>
      <w:r>
        <w:rPr>
          <w:rFonts w:ascii="Consolas" w:hAnsi="Consolas"/>
          <w:color w:val="263238"/>
          <w:sz w:val="15"/>
        </w:rPr>
        <w:t># exceptions.to_csv("quarantine.csv", index=False)</w:t>
      </w:r>
    </w:p>
    <w:p>
      <w:pPr>
        <w:spacing w:after="100"/>
      </w:pPr>
      <w:r>
        <w:t>Implementation note: the example exact-duplicate mask is intentionally simple; for production, save the removed duplicate rows and their original indices to an audit output before discarding them. Also split parse failures (unparseable nonblank values) from original blanks, and use a tested locale-specific parser. The dollar-symbol removal is valid only if the selected source has a confirmed USD convention; otherwise retain the value as text and resolve currency first.</w:t>
      </w:r>
    </w:p>
    <w:p>
      <w:pPr>
        <w:pStyle w:val="Heading2"/>
        <w:keepNext/>
      </w:pPr>
      <w:r>
        <w:t>8.2 Train-only model preprocessing example</w:t>
      </w:r>
    </w:p>
    <w:p>
      <w:pPr>
        <w:spacing w:after="100"/>
      </w:pPr>
      <w:r>
        <w:t>Run this only after defining a prediction task and separating identifiers, target, and leakage-prone fields. Example numeric/categorical columns are placeholders.</w:t>
      </w:r>
    </w:p>
    <w:p>
      <w:pPr>
        <w:spacing w:after="0" w:line="240" w:lineRule="auto"/>
        <w:ind w:left="259" w:right="173"/>
        <w:shd w:fill="F1F4F6"/>
      </w:pPr>
      <w:r>
        <w:rPr>
          <w:rFonts w:ascii="Consolas" w:hAnsi="Consolas"/>
          <w:color w:val="263238"/>
          <w:sz w:val="15"/>
        </w:rPr>
        <w:t>from sklearn.compose import ColumnTransformer</w:t>
      </w:r>
    </w:p>
    <w:p>
      <w:pPr>
        <w:spacing w:after="0" w:line="240" w:lineRule="auto"/>
        <w:ind w:left="259" w:right="173"/>
        <w:shd w:fill="F1F4F6"/>
      </w:pPr>
      <w:r>
        <w:rPr>
          <w:rFonts w:ascii="Consolas" w:hAnsi="Consolas"/>
          <w:color w:val="263238"/>
          <w:sz w:val="15"/>
        </w:rPr>
        <w:t>from sklearn.impute import SimpleImputer</w:t>
      </w:r>
    </w:p>
    <w:p>
      <w:pPr>
        <w:spacing w:after="0" w:line="240" w:lineRule="auto"/>
        <w:ind w:left="259" w:right="173"/>
        <w:shd w:fill="F1F4F6"/>
      </w:pPr>
      <w:r>
        <w:rPr>
          <w:rFonts w:ascii="Consolas" w:hAnsi="Consolas"/>
          <w:color w:val="263238"/>
          <w:sz w:val="15"/>
        </w:rPr>
        <w:t>from sklearn.pipeline import Pipeline</w:t>
      </w:r>
    </w:p>
    <w:p>
      <w:pPr>
        <w:spacing w:after="0" w:line="240" w:lineRule="auto"/>
        <w:ind w:left="259" w:right="173"/>
        <w:shd w:fill="F1F4F6"/>
      </w:pPr>
      <w:r>
        <w:rPr>
          <w:rFonts w:ascii="Consolas" w:hAnsi="Consolas"/>
          <w:color w:val="263238"/>
          <w:sz w:val="15"/>
        </w:rPr>
        <w:t>from sklearn.preprocessing import OneHotEncoder, RobustScaler</w:t>
      </w:r>
    </w:p>
    <w:p>
      <w:pPr>
        <w:spacing w:after="0" w:line="240" w:lineRule="auto"/>
        <w:ind w:left="259" w:right="173"/>
        <w:shd w:fill="F1F4F6"/>
      </w:pPr>
      <w:r>
        <w:rPr>
          <w:rFonts w:ascii="Consolas" w:hAnsi="Consolas"/>
          <w:color w:val="263238"/>
          <w:sz w:val="15"/>
        </w:rPr>
        <w:t>from sklearn.model_selection import train_test_split</w:t>
      </w:r>
    </w:p>
    <w:p>
      <w:pPr>
        <w:spacing w:after="0" w:line="240" w:lineRule="auto"/>
        <w:ind w:left="259" w:right="173"/>
        <w:shd w:fill="F1F4F6"/>
      </w:pPr>
      <w:r>
        <w:rPr>
          <w:rFonts w:ascii="Consolas" w:hAnsi="Consolas"/>
          <w:color w:val="263238"/>
          <w:sz w:val="15"/>
        </w:rPr>
        <w:t xml:space="preserve"> </w:t>
      </w:r>
    </w:p>
    <w:p>
      <w:pPr>
        <w:spacing w:after="0" w:line="240" w:lineRule="auto"/>
        <w:ind w:left="259" w:right="173"/>
        <w:shd w:fill="F1F4F6"/>
      </w:pPr>
      <w:r>
        <w:rPr>
          <w:rFonts w:ascii="Consolas" w:hAnsi="Consolas"/>
          <w:color w:val="263238"/>
          <w:sz w:val="15"/>
        </w:rPr>
        <w:t>numeric = ["price_per_100ml", "review_count"]</w:t>
      </w:r>
    </w:p>
    <w:p>
      <w:pPr>
        <w:spacing w:after="0" w:line="240" w:lineRule="auto"/>
        <w:ind w:left="259" w:right="173"/>
        <w:shd w:fill="F1F4F6"/>
      </w:pPr>
      <w:r>
        <w:rPr>
          <w:rFonts w:ascii="Consolas" w:hAnsi="Consolas"/>
          <w:color w:val="263238"/>
          <w:sz w:val="15"/>
        </w:rPr>
        <w:t>categorical = ["category", "brand"]</w:t>
      </w:r>
    </w:p>
    <w:p>
      <w:pPr>
        <w:spacing w:after="0" w:line="240" w:lineRule="auto"/>
        <w:ind w:left="259" w:right="173"/>
        <w:shd w:fill="F1F4F6"/>
      </w:pPr>
      <w:r>
        <w:rPr>
          <w:rFonts w:ascii="Consolas" w:hAnsi="Consolas"/>
          <w:color w:val="263238"/>
          <w:sz w:val="15"/>
        </w:rPr>
        <w:t>preprocess = ColumnTransformer([</w:t>
      </w:r>
    </w:p>
    <w:p>
      <w:pPr>
        <w:spacing w:after="0" w:line="240" w:lineRule="auto"/>
        <w:ind w:left="259" w:right="173"/>
        <w:shd w:fill="F1F4F6"/>
      </w:pPr>
      <w:r>
        <w:rPr>
          <w:rFonts w:ascii="Consolas" w:hAnsi="Consolas"/>
          <w:color w:val="263238"/>
          <w:sz w:val="15"/>
        </w:rPr>
        <w:t xml:space="preserve">    ("num", Pipeline([</w:t>
      </w:r>
    </w:p>
    <w:p>
      <w:pPr>
        <w:spacing w:after="0" w:line="240" w:lineRule="auto"/>
        <w:ind w:left="259" w:right="173"/>
        <w:shd w:fill="F1F4F6"/>
      </w:pPr>
      <w:r>
        <w:rPr>
          <w:rFonts w:ascii="Consolas" w:hAnsi="Consolas"/>
          <w:color w:val="263238"/>
          <w:sz w:val="15"/>
        </w:rPr>
        <w:t xml:space="preserve">        ("impute", SimpleImputer(strategy="median", add_indicator=True)),</w:t>
      </w:r>
    </w:p>
    <w:p>
      <w:pPr>
        <w:spacing w:after="0" w:line="240" w:lineRule="auto"/>
        <w:ind w:left="259" w:right="173"/>
        <w:shd w:fill="F1F4F6"/>
      </w:pPr>
      <w:r>
        <w:rPr>
          <w:rFonts w:ascii="Consolas" w:hAnsi="Consolas"/>
          <w:color w:val="263238"/>
          <w:sz w:val="15"/>
        </w:rPr>
        <w:t xml:space="preserve">        ("scale", RobustScaler()),</w:t>
      </w:r>
    </w:p>
    <w:p>
      <w:pPr>
        <w:spacing w:after="0" w:line="240" w:lineRule="auto"/>
        <w:ind w:left="259" w:right="173"/>
        <w:shd w:fill="F1F4F6"/>
      </w:pPr>
      <w:r>
        <w:rPr>
          <w:rFonts w:ascii="Consolas" w:hAnsi="Consolas"/>
          <w:color w:val="263238"/>
          <w:sz w:val="15"/>
        </w:rPr>
        <w:t xml:space="preserve">    ]), numeric),</w:t>
      </w:r>
    </w:p>
    <w:p>
      <w:pPr>
        <w:spacing w:after="0" w:line="240" w:lineRule="auto"/>
        <w:ind w:left="259" w:right="173"/>
        <w:shd w:fill="F1F4F6"/>
      </w:pPr>
      <w:r>
        <w:rPr>
          <w:rFonts w:ascii="Consolas" w:hAnsi="Consolas"/>
          <w:color w:val="263238"/>
          <w:sz w:val="15"/>
        </w:rPr>
        <w:t xml:space="preserve">    ("cat", Pipeline([</w:t>
      </w:r>
    </w:p>
    <w:p>
      <w:pPr>
        <w:spacing w:after="0" w:line="240" w:lineRule="auto"/>
        <w:ind w:left="259" w:right="173"/>
        <w:shd w:fill="F1F4F6"/>
      </w:pPr>
      <w:r>
        <w:rPr>
          <w:rFonts w:ascii="Consolas" w:hAnsi="Consolas"/>
          <w:color w:val="263238"/>
          <w:sz w:val="15"/>
        </w:rPr>
        <w:t xml:space="preserve">        ("impute", SimpleImputer(strategy="most_frequent")),</w:t>
      </w:r>
    </w:p>
    <w:p>
      <w:pPr>
        <w:spacing w:after="0" w:line="240" w:lineRule="auto"/>
        <w:ind w:left="259" w:right="173"/>
        <w:shd w:fill="F1F4F6"/>
      </w:pPr>
      <w:r>
        <w:rPr>
          <w:rFonts w:ascii="Consolas" w:hAnsi="Consolas"/>
          <w:color w:val="263238"/>
          <w:sz w:val="15"/>
        </w:rPr>
        <w:t xml:space="preserve">        ("onehot", OneHotEncoder(handle_unknown="ignore")),</w:t>
      </w:r>
    </w:p>
    <w:p>
      <w:pPr>
        <w:spacing w:after="0" w:line="240" w:lineRule="auto"/>
        <w:ind w:left="259" w:right="173"/>
        <w:shd w:fill="F1F4F6"/>
      </w:pPr>
      <w:r>
        <w:rPr>
          <w:rFonts w:ascii="Consolas" w:hAnsi="Consolas"/>
          <w:color w:val="263238"/>
          <w:sz w:val="15"/>
        </w:rPr>
        <w:t xml:space="preserve">    ]), categorical),</w:t>
      </w:r>
    </w:p>
    <w:p>
      <w:pPr>
        <w:spacing w:after="0" w:line="240" w:lineRule="auto"/>
        <w:ind w:left="259" w:right="173"/>
        <w:shd w:fill="F1F4F6"/>
      </w:pPr>
      <w:r>
        <w:rPr>
          <w:rFonts w:ascii="Consolas" w:hAnsi="Consolas"/>
          <w:color w:val="263238"/>
          <w:sz w:val="15"/>
        </w:rPr>
        <w:t>])</w:t>
      </w:r>
    </w:p>
    <w:p>
      <w:pPr>
        <w:spacing w:after="0" w:line="240" w:lineRule="auto"/>
        <w:ind w:left="259" w:right="173"/>
        <w:shd w:fill="F1F4F6"/>
      </w:pPr>
      <w:r>
        <w:rPr>
          <w:rFonts w:ascii="Consolas" w:hAnsi="Consolas"/>
          <w:color w:val="263238"/>
          <w:sz w:val="15"/>
        </w:rPr>
        <w:t>X_train, X_test, y_train, y_test = train_test_split(</w:t>
      </w:r>
    </w:p>
    <w:p>
      <w:pPr>
        <w:spacing w:after="0" w:line="240" w:lineRule="auto"/>
        <w:ind w:left="259" w:right="173"/>
        <w:shd w:fill="F1F4F6"/>
      </w:pPr>
      <w:r>
        <w:rPr>
          <w:rFonts w:ascii="Consolas" w:hAnsi="Consolas"/>
          <w:color w:val="263238"/>
          <w:sz w:val="15"/>
        </w:rPr>
        <w:t xml:space="preserve">    X, y, test_size=0.2, random_state=42, stratify=y</w:t>
      </w:r>
    </w:p>
    <w:p>
      <w:pPr>
        <w:spacing w:after="0" w:line="240" w:lineRule="auto"/>
        <w:ind w:left="259" w:right="173"/>
        <w:shd w:fill="F1F4F6"/>
      </w:pPr>
      <w:r>
        <w:rPr>
          <w:rFonts w:ascii="Consolas" w:hAnsi="Consolas"/>
          <w:color w:val="263238"/>
          <w:sz w:val="15"/>
        </w:rPr>
        <w:t>)</w:t>
      </w:r>
    </w:p>
    <w:p>
      <w:pPr>
        <w:spacing w:after="0" w:line="240" w:lineRule="auto"/>
        <w:ind w:left="259" w:right="173"/>
        <w:shd w:fill="F1F4F6"/>
      </w:pPr>
      <w:r>
        <w:rPr>
          <w:rFonts w:ascii="Consolas" w:hAnsi="Consolas"/>
          <w:color w:val="263238"/>
          <w:sz w:val="15"/>
        </w:rPr>
        <w:t># Fit preprocess/model on X_train only (prefer a single sklearn Pipeline).</w:t>
      </w:r>
    </w:p>
    <w:p>
      <w:pPr>
        <w:spacing w:after="0" w:line="240" w:lineRule="auto"/>
        <w:ind w:left="259" w:right="173"/>
        <w:shd w:fill="F1F4F6"/>
      </w:pPr>
      <w:r>
        <w:rPr>
          <w:rFonts w:ascii="Consolas" w:hAnsi="Consolas"/>
          <w:color w:val="263238"/>
          <w:sz w:val="15"/>
        </w:rPr>
        <w:t># Choose stratification only when labels/classes and sample sizes support it.</w:t>
      </w:r>
    </w:p>
    <w:p>
      <w:pPr>
        <w:pStyle w:val="Heading1"/>
        <w:keepNext/>
      </w:pPr>
      <w:r>
        <w:t>9. Flowchart and rationale</w:t>
      </w:r>
    </w:p>
    <w:p>
      <w:pPr>
        <w:spacing w:after="100"/>
      </w:pPr>
      <w:r>
        <w:t>The sequence below makes the gates explicit: exceptions are surfaced, not silently coerced into success.</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center"/>
            <w:shd w:fill="17365D"/>
          </w:tcPr>
          <w:p>
            <w:pPr>
              <w:spacing w:after="20"/>
            </w:pPr>
            <w:r/>
            <w:r>
              <w:rPr>
                <w:rFonts w:ascii="Calibri" w:hAnsi="Calibri"/>
                <w:b/>
                <w:color w:val="FFFFFF"/>
                <w:sz w:val="17"/>
              </w:rPr>
              <w:t>FLOW</w:t>
            </w:r>
          </w:p>
        </w:tc>
        <w:tc>
          <w:tcPr>
            <w:tcW w:type="dxa" w:w="7200"/>
            <w:vAlign w:val="center"/>
            <w:shd w:fill="17365D"/>
          </w:tcPr>
          <w:p>
            <w:pPr>
              <w:spacing w:after="20"/>
            </w:pPr>
            <w:r/>
            <w:r>
              <w:rPr>
                <w:rFonts w:ascii="Calibri" w:hAnsi="Calibri"/>
                <w:b/>
                <w:color w:val="FFFFFF"/>
                <w:sz w:val="17"/>
              </w:rPr>
              <w:t>ACTION AND RATIONALE / EXIT CHECK</w:t>
            </w:r>
          </w:p>
        </w:tc>
      </w:tr>
      <w:tr>
        <w:tc>
          <w:tcPr>
            <w:tcW w:type="dxa" w:w="3168"/>
            <w:vAlign w:val="center"/>
          </w:tcPr>
          <w:p>
            <w:pPr>
              <w:spacing w:after="20"/>
            </w:pPr>
            <w:r/>
            <w:r>
              <w:rPr>
                <w:rFonts w:ascii="Calibri" w:hAnsi="Calibri"/>
                <w:b w:val="0"/>
                <w:color w:val="243746"/>
                <w:sz w:val="17"/>
              </w:rPr>
              <w:t>[1] Define question + unit of analysis</w:t>
              <w:br/>
              <w:t>↓</w:t>
            </w:r>
          </w:p>
        </w:tc>
        <w:tc>
          <w:tcPr>
            <w:tcW w:type="dxa" w:w="7200"/>
            <w:vAlign w:val="center"/>
          </w:tcPr>
          <w:p>
            <w:pPr>
              <w:spacing w:after="20"/>
            </w:pPr>
            <w:r/>
            <w:r>
              <w:rPr>
                <w:rFonts w:ascii="Calibri" w:hAnsi="Calibri"/>
                <w:b w:val="0"/>
                <w:color w:val="243746"/>
                <w:sz w:val="17"/>
              </w:rPr>
              <w:t>Specify product vs variant, market, time window and intended statistic/model. Prevents accidental mixing of unlike records.</w:t>
            </w:r>
          </w:p>
        </w:tc>
      </w:tr>
      <w:tr>
        <w:tc>
          <w:tcPr>
            <w:tcW w:type="dxa" w:w="3168"/>
            <w:vAlign w:val="center"/>
            <w:shd w:fill="F3F6F8"/>
          </w:tcPr>
          <w:p>
            <w:pPr>
              <w:spacing w:after="20"/>
            </w:pPr>
            <w:r/>
            <w:r>
              <w:rPr>
                <w:rFonts w:ascii="Calibri" w:hAnsi="Calibri"/>
                <w:b w:val="0"/>
                <w:color w:val="243746"/>
                <w:sz w:val="17"/>
              </w:rPr>
              <w:t>[2] Select source + verify terms</w:t>
              <w:br/>
              <w:t>↓</w:t>
            </w:r>
          </w:p>
        </w:tc>
        <w:tc>
          <w:tcPr>
            <w:tcW w:type="dxa" w:w="7200"/>
            <w:vAlign w:val="center"/>
            <w:shd w:fill="F3F6F8"/>
          </w:tcPr>
          <w:p>
            <w:pPr>
              <w:spacing w:after="20"/>
            </w:pPr>
            <w:r/>
            <w:r>
              <w:rPr>
                <w:rFonts w:ascii="Calibri" w:hAnsi="Calibri"/>
                <w:b w:val="0"/>
                <w:color w:val="243746"/>
                <w:sz w:val="17"/>
              </w:rPr>
              <w:t>Document data dictionary, reuse license, API/export rules, market/language and known coverage limitations.</w:t>
            </w:r>
          </w:p>
        </w:tc>
      </w:tr>
      <w:tr>
        <w:tc>
          <w:tcPr>
            <w:tcW w:type="dxa" w:w="3168"/>
            <w:vAlign w:val="center"/>
          </w:tcPr>
          <w:p>
            <w:pPr>
              <w:spacing w:after="20"/>
            </w:pPr>
            <w:r/>
            <w:r>
              <w:rPr>
                <w:rFonts w:ascii="Calibri" w:hAnsi="Calibri"/>
                <w:b w:val="0"/>
                <w:color w:val="243746"/>
                <w:sz w:val="17"/>
              </w:rPr>
              <w:t>[3] Snapshot immutable raw data</w:t>
              <w:br/>
              <w:t>↓</w:t>
            </w:r>
          </w:p>
        </w:tc>
        <w:tc>
          <w:tcPr>
            <w:tcW w:type="dxa" w:w="7200"/>
            <w:vAlign w:val="center"/>
          </w:tcPr>
          <w:p>
            <w:pPr>
              <w:spacing w:after="20"/>
            </w:pPr>
            <w:r/>
            <w:r>
              <w:rPr>
                <w:rFonts w:ascii="Calibri" w:hAnsi="Calibri"/>
                <w:b w:val="0"/>
                <w:color w:val="243746"/>
                <w:sz w:val="17"/>
              </w:rPr>
              <w:t>Save bytes, UTC time, query, schema, row count and SHA-256. Enables replay and provenance.</w:t>
            </w:r>
          </w:p>
        </w:tc>
      </w:tr>
      <w:tr>
        <w:tc>
          <w:tcPr>
            <w:tcW w:type="dxa" w:w="3168"/>
            <w:vAlign w:val="center"/>
            <w:shd w:fill="F3F6F8"/>
          </w:tcPr>
          <w:p>
            <w:pPr>
              <w:spacing w:after="20"/>
            </w:pPr>
            <w:r/>
            <w:r>
              <w:rPr>
                <w:rFonts w:ascii="Calibri" w:hAnsi="Calibri"/>
                <w:b w:val="0"/>
                <w:color w:val="243746"/>
                <w:sz w:val="17"/>
              </w:rPr>
              <w:t>[4] Profile raw quality</w:t>
              <w:br/>
              <w:t>↓</w:t>
            </w:r>
          </w:p>
        </w:tc>
        <w:tc>
          <w:tcPr>
            <w:tcW w:type="dxa" w:w="7200"/>
            <w:vAlign w:val="center"/>
            <w:shd w:fill="F3F6F8"/>
          </w:tcPr>
          <w:p>
            <w:pPr>
              <w:spacing w:after="20"/>
            </w:pPr>
            <w:r/>
            <w:r>
              <w:rPr>
                <w:rFonts w:ascii="Calibri" w:hAnsi="Calibri"/>
                <w:b w:val="0"/>
                <w:color w:val="243746"/>
                <w:sz w:val="17"/>
              </w:rPr>
              <w:t>Measure shape, missingness, duplicates, types, ranges, cardinality and parse failures before cleaning.</w:t>
            </w:r>
          </w:p>
        </w:tc>
      </w:tr>
      <w:tr>
        <w:tc>
          <w:tcPr>
            <w:tcW w:type="dxa" w:w="3168"/>
            <w:vAlign w:val="center"/>
          </w:tcPr>
          <w:p>
            <w:pPr>
              <w:spacing w:after="20"/>
            </w:pPr>
            <w:r/>
            <w:r>
              <w:rPr>
                <w:rFonts w:ascii="Calibri" w:hAnsi="Calibri"/>
                <w:b w:val="0"/>
                <w:color w:val="243746"/>
                <w:sz w:val="17"/>
              </w:rPr>
              <w:t>[5] Normalize representation</w:t>
              <w:br/>
              <w:t>↓</w:t>
            </w:r>
          </w:p>
        </w:tc>
        <w:tc>
          <w:tcPr>
            <w:tcW w:type="dxa" w:w="7200"/>
            <w:vAlign w:val="center"/>
          </w:tcPr>
          <w:p>
            <w:pPr>
              <w:spacing w:after="20"/>
            </w:pPr>
            <w:r/>
            <w:r>
              <w:rPr>
                <w:rFonts w:ascii="Calibri" w:hAnsi="Calibri"/>
                <w:b w:val="0"/>
                <w:color w:val="243746"/>
                <w:sz w:val="17"/>
              </w:rPr>
              <w:t>Trim/case-map selected fields; normalize units/categories with explicit dictionaries; preserve raw values.</w:t>
            </w:r>
          </w:p>
        </w:tc>
      </w:tr>
      <w:tr>
        <w:tc>
          <w:tcPr>
            <w:tcW w:type="dxa" w:w="3168"/>
            <w:vAlign w:val="center"/>
            <w:shd w:fill="F3F6F8"/>
          </w:tcPr>
          <w:p>
            <w:pPr>
              <w:spacing w:after="20"/>
            </w:pPr>
            <w:r/>
            <w:r>
              <w:rPr>
                <w:rFonts w:ascii="Calibri" w:hAnsi="Calibri"/>
                <w:b w:val="0"/>
                <w:color w:val="243746"/>
                <w:sz w:val="17"/>
              </w:rPr>
              <w:t>[6] Resolve IDs + quarantine conflicts</w:t>
              <w:br/>
              <w:t>↓</w:t>
            </w:r>
          </w:p>
        </w:tc>
        <w:tc>
          <w:tcPr>
            <w:tcW w:type="dxa" w:w="7200"/>
            <w:vAlign w:val="center"/>
            <w:shd w:fill="F3F6F8"/>
          </w:tcPr>
          <w:p>
            <w:pPr>
              <w:spacing w:after="20"/>
            </w:pPr>
            <w:r/>
            <w:r>
              <w:rPr>
                <w:rFonts w:ascii="Calibri" w:hAnsi="Calibri"/>
                <w:b w:val="0"/>
                <w:color w:val="243746"/>
                <w:sz w:val="17"/>
              </w:rPr>
              <w:t>Remove only proven exact repeats; investigate conflicting variants and missing critical identity.</w:t>
            </w:r>
          </w:p>
        </w:tc>
      </w:tr>
      <w:tr>
        <w:tc>
          <w:tcPr>
            <w:tcW w:type="dxa" w:w="3168"/>
            <w:vAlign w:val="center"/>
          </w:tcPr>
          <w:p>
            <w:pPr>
              <w:spacing w:after="20"/>
            </w:pPr>
            <w:r/>
            <w:r>
              <w:rPr>
                <w:rFonts w:ascii="Calibri" w:hAnsi="Calibri"/>
                <w:b w:val="0"/>
                <w:color w:val="243746"/>
                <w:sz w:val="17"/>
              </w:rPr>
              <w:t>[7] Parse + validate domains</w:t>
              <w:br/>
              <w:t>↓</w:t>
            </w:r>
          </w:p>
        </w:tc>
        <w:tc>
          <w:tcPr>
            <w:tcW w:type="dxa" w:w="7200"/>
            <w:vAlign w:val="center"/>
          </w:tcPr>
          <w:p>
            <w:pPr>
              <w:spacing w:after="20"/>
            </w:pPr>
            <w:r/>
            <w:r>
              <w:rPr>
                <w:rFonts w:ascii="Calibri" w:hAnsi="Calibri"/>
                <w:b w:val="0"/>
                <w:color w:val="243746"/>
                <w:sz w:val="17"/>
              </w:rPr>
              <w:t>Parse locale-aware numeric/date/size values; enforce bounds and retain invalidity flags.</w:t>
            </w:r>
          </w:p>
        </w:tc>
      </w:tr>
      <w:tr>
        <w:tc>
          <w:tcPr>
            <w:tcW w:type="dxa" w:w="3168"/>
            <w:vAlign w:val="center"/>
            <w:shd w:fill="F3F6F8"/>
          </w:tcPr>
          <w:p>
            <w:pPr>
              <w:spacing w:after="20"/>
            </w:pPr>
            <w:r/>
            <w:r>
              <w:rPr>
                <w:rFonts w:ascii="Calibri" w:hAnsi="Calibri"/>
                <w:b w:val="0"/>
                <w:color w:val="243746"/>
                <w:sz w:val="17"/>
              </w:rPr>
              <w:t>[8] Apply missing/outlier policy</w:t>
              <w:br/>
              <w:t>↓</w:t>
            </w:r>
          </w:p>
        </w:tc>
        <w:tc>
          <w:tcPr>
            <w:tcW w:type="dxa" w:w="7200"/>
            <w:vAlign w:val="center"/>
            <w:shd w:fill="F3F6F8"/>
          </w:tcPr>
          <w:p>
            <w:pPr>
              <w:spacing w:after="20"/>
            </w:pPr>
            <w:r/>
            <w:r>
              <w:rPr>
                <w:rFonts w:ascii="Calibri" w:hAnsi="Calibri"/>
                <w:b w:val="0"/>
                <w:color w:val="243746"/>
                <w:sz w:val="17"/>
              </w:rPr>
              <w:t>Keep unknown distinct from zero; flag plausible extremes; impute only for a defined model.</w:t>
            </w:r>
          </w:p>
        </w:tc>
      </w:tr>
      <w:tr>
        <w:tc>
          <w:tcPr>
            <w:tcW w:type="dxa" w:w="3168"/>
            <w:vAlign w:val="center"/>
          </w:tcPr>
          <w:p>
            <w:pPr>
              <w:spacing w:after="20"/>
            </w:pPr>
            <w:r/>
            <w:r>
              <w:rPr>
                <w:rFonts w:ascii="Calibri" w:hAnsi="Calibri"/>
                <w:b w:val="0"/>
                <w:color w:val="243746"/>
                <w:sz w:val="17"/>
              </w:rPr>
              <w:t>[9] Build analysis/model views</w:t>
              <w:br/>
              <w:t>↓</w:t>
            </w:r>
          </w:p>
        </w:tc>
        <w:tc>
          <w:tcPr>
            <w:tcW w:type="dxa" w:w="7200"/>
            <w:vAlign w:val="center"/>
          </w:tcPr>
          <w:p>
            <w:pPr>
              <w:spacing w:after="20"/>
            </w:pPr>
            <w:r/>
            <w:r>
              <w:rPr>
                <w:rFonts w:ascii="Calibri" w:hAnsi="Calibri"/>
                <w:b w:val="0"/>
                <w:color w:val="243746"/>
                <w:sz w:val="17"/>
              </w:rPr>
              <w:t>Export clean analytical table; fit imputation/encoding/scaling within training folds only.</w:t>
            </w:r>
          </w:p>
        </w:tc>
      </w:tr>
      <w:tr>
        <w:tc>
          <w:tcPr>
            <w:tcW w:type="dxa" w:w="3168"/>
            <w:vAlign w:val="center"/>
            <w:shd w:fill="F3F6F8"/>
          </w:tcPr>
          <w:p>
            <w:pPr>
              <w:spacing w:after="20"/>
            </w:pPr>
            <w:r/>
            <w:r>
              <w:rPr>
                <w:rFonts w:ascii="Calibri" w:hAnsi="Calibri"/>
                <w:b w:val="0"/>
                <w:color w:val="243746"/>
                <w:sz w:val="17"/>
              </w:rPr>
              <w:t>[10] Test, reconcile, document, release</w:t>
            </w:r>
          </w:p>
        </w:tc>
        <w:tc>
          <w:tcPr>
            <w:tcW w:type="dxa" w:w="7200"/>
            <w:vAlign w:val="center"/>
            <w:shd w:fill="F3F6F8"/>
          </w:tcPr>
          <w:p>
            <w:pPr>
              <w:spacing w:after="20"/>
            </w:pPr>
            <w:r/>
            <w:r>
              <w:rPr>
                <w:rFonts w:ascii="Calibri" w:hAnsi="Calibri"/>
                <w:b w:val="0"/>
                <w:color w:val="243746"/>
                <w:sz w:val="17"/>
              </w:rPr>
              <w:t>Check counts/schema/constraints; reconcile retained + quarantined + removed; save manifest, audit and outputs.</w:t>
            </w:r>
          </w:p>
        </w:tc>
      </w:tr>
    </w:tbl>
    <w:p>
      <w:pPr>
        <w:spacing w:after="20"/>
      </w:pPr>
    </w:p>
    <w:p>
      <w:pPr>
        <w:spacing w:after="100"/>
      </w:pPr>
      <w:r>
        <w:t>Decision gate: If source semantics, currency, rating scale, identity conflicts or license are unclear, stop that transformation and mark records for review. The pipeline should fail loudly on required-column/schema changes rather than quietly dropping fields.</w:t>
      </w:r>
    </w:p>
    <w:p>
      <w:pPr>
        <w:pStyle w:val="Heading1"/>
        <w:keepNext/>
      </w:pPr>
      <w:r>
        <w:t>10. Reproducibility, validation and documentation</w:t>
      </w:r>
    </w:p>
    <w:p>
      <w:pPr>
        <w:pStyle w:val="Heading2"/>
        <w:keepNext/>
      </w:pPr>
      <w:r>
        <w:t>10.1 Artifacts to retain per run</w:t>
      </w:r>
    </w:p>
    <w:p>
      <w:pPr>
        <w:pStyle w:val="ListBullet"/>
        <w:spacing w:after="40"/>
      </w:pPr>
      <w:r>
        <w:t>Immutable raw snapshot and SHA-256; do not edit in place.</w:t>
      </w:r>
    </w:p>
    <w:p>
      <w:pPr>
        <w:pStyle w:val="ListBullet"/>
        <w:spacing w:after="40"/>
      </w:pPr>
      <w:r>
        <w:t>Extraction script/configuration, source documentation references, retrieval time and license/attribution note.</w:t>
      </w:r>
    </w:p>
    <w:p>
      <w:pPr>
        <w:pStyle w:val="ListBullet"/>
        <w:spacing w:after="40"/>
      </w:pPr>
      <w:r>
        <w:t>Versioned cleaning code, dependency versions, random seeds, locale assumptions and category/unit mapping tables.</w:t>
      </w:r>
    </w:p>
    <w:p>
      <w:pPr>
        <w:pStyle w:val="ListBullet"/>
        <w:spacing w:after="40"/>
      </w:pPr>
      <w:r>
        <w:t>A machine-readable run manifest: run_id, input hash, code version, start/end time, row counts, warnings, outputs and output hashes.</w:t>
      </w:r>
    </w:p>
    <w:p>
      <w:pPr>
        <w:pStyle w:val="ListBullet"/>
        <w:spacing w:after="40"/>
      </w:pPr>
      <w:r>
        <w:t>Clean analytical dataset, quarantine/exceptions file, field dictionary, before/after quality report and figures.</w:t>
      </w:r>
    </w:p>
    <w:p>
      <w:pPr>
        <w:pStyle w:val="ListBullet"/>
        <w:spacing w:after="40"/>
      </w:pPr>
      <w:r>
        <w:t>Decision log: issue observed, evidence checked, chosen treatment, alternatives rejected, reviewer/date and affected row count.</w:t>
      </w:r>
    </w:p>
    <w:p>
      <w:pPr>
        <w:pStyle w:val="Heading2"/>
        <w:keepNext/>
      </w:pPr>
      <w:r>
        <w:t>10.2 Validation tests</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vAlign w:val="center"/>
            <w:shd w:fill="17365D"/>
          </w:tcPr>
          <w:p>
            <w:pPr>
              <w:spacing w:after="20"/>
            </w:pPr>
            <w:r/>
            <w:r>
              <w:rPr>
                <w:rFonts w:ascii="Calibri" w:hAnsi="Calibri"/>
                <w:b/>
                <w:color w:val="FFFFFF"/>
                <w:sz w:val="17"/>
              </w:rPr>
              <w:t>TEST</w:t>
            </w:r>
          </w:p>
        </w:tc>
        <w:tc>
          <w:tcPr>
            <w:tcW w:type="dxa" w:w="8280"/>
            <w:vAlign w:val="center"/>
            <w:shd w:fill="17365D"/>
          </w:tcPr>
          <w:p>
            <w:pPr>
              <w:spacing w:after="20"/>
            </w:pPr>
            <w:r/>
            <w:r>
              <w:rPr>
                <w:rFonts w:ascii="Calibri" w:hAnsi="Calibri"/>
                <w:b/>
                <w:color w:val="FFFFFF"/>
                <w:sz w:val="17"/>
              </w:rPr>
              <w:t>PASS CONDITION / EXAMPLE</w:t>
            </w:r>
          </w:p>
        </w:tc>
      </w:tr>
      <w:tr>
        <w:tc>
          <w:tcPr>
            <w:tcW w:type="dxa" w:w="2088"/>
            <w:vAlign w:val="center"/>
          </w:tcPr>
          <w:p>
            <w:pPr>
              <w:spacing w:after="20"/>
            </w:pPr>
            <w:r/>
            <w:r>
              <w:rPr>
                <w:rFonts w:ascii="Calibri" w:hAnsi="Calibri"/>
                <w:b w:val="0"/>
                <w:color w:val="243746"/>
                <w:sz w:val="17"/>
              </w:rPr>
              <w:t>Schema</w:t>
            </w:r>
          </w:p>
        </w:tc>
        <w:tc>
          <w:tcPr>
            <w:tcW w:type="dxa" w:w="8280"/>
            <w:vAlign w:val="center"/>
          </w:tcPr>
          <w:p>
            <w:pPr>
              <w:spacing w:after="20"/>
            </w:pPr>
            <w:r/>
            <w:r>
              <w:rPr>
                <w:rFonts w:ascii="Calibri" w:hAnsi="Calibri"/>
                <w:b w:val="0"/>
                <w:color w:val="243746"/>
                <w:sz w:val="17"/>
              </w:rPr>
              <w:t>Required columns exist; documented dtypes and units match.</w:t>
            </w:r>
          </w:p>
        </w:tc>
      </w:tr>
      <w:tr>
        <w:tc>
          <w:tcPr>
            <w:tcW w:type="dxa" w:w="2088"/>
            <w:vAlign w:val="center"/>
            <w:shd w:fill="F3F6F8"/>
          </w:tcPr>
          <w:p>
            <w:pPr>
              <w:spacing w:after="20"/>
            </w:pPr>
            <w:r/>
            <w:r>
              <w:rPr>
                <w:rFonts w:ascii="Calibri" w:hAnsi="Calibri"/>
                <w:b w:val="0"/>
                <w:color w:val="243746"/>
                <w:sz w:val="17"/>
              </w:rPr>
              <w:t>Identity</w:t>
            </w:r>
          </w:p>
        </w:tc>
        <w:tc>
          <w:tcPr>
            <w:tcW w:type="dxa" w:w="8280"/>
            <w:vAlign w:val="center"/>
            <w:shd w:fill="F3F6F8"/>
          </w:tcPr>
          <w:p>
            <w:pPr>
              <w:spacing w:after="20"/>
            </w:pPr>
            <w:r/>
            <w:r>
              <w:rPr>
                <w:rFonts w:ascii="Calibri" w:hAnsi="Calibri"/>
                <w:b w:val="0"/>
                <w:color w:val="243746"/>
                <w:sz w:val="17"/>
              </w:rPr>
              <w:t>source_record_id unique in retained data; conflicting barcode groups are reported.</w:t>
            </w:r>
          </w:p>
        </w:tc>
      </w:tr>
      <w:tr>
        <w:tc>
          <w:tcPr>
            <w:tcW w:type="dxa" w:w="2088"/>
            <w:vAlign w:val="center"/>
          </w:tcPr>
          <w:p>
            <w:pPr>
              <w:spacing w:after="20"/>
            </w:pPr>
            <w:r/>
            <w:r>
              <w:rPr>
                <w:rFonts w:ascii="Calibri" w:hAnsi="Calibri"/>
                <w:b w:val="0"/>
                <w:color w:val="243746"/>
                <w:sz w:val="17"/>
              </w:rPr>
              <w:t>Ranges</w:t>
            </w:r>
          </w:p>
        </w:tc>
        <w:tc>
          <w:tcPr>
            <w:tcW w:type="dxa" w:w="8280"/>
            <w:vAlign w:val="center"/>
          </w:tcPr>
          <w:p>
            <w:pPr>
              <w:spacing w:after="20"/>
            </w:pPr>
            <w:r/>
            <w:r>
              <w:rPr>
                <w:rFonts w:ascii="Calibri" w:hAnsi="Calibri"/>
                <w:b w:val="0"/>
                <w:color w:val="243746"/>
                <w:sz w:val="17"/>
              </w:rPr>
              <w:t>All non-null ratings are within confirmed bounds; size and prices positive after invalids are nulled.</w:t>
            </w:r>
          </w:p>
        </w:tc>
      </w:tr>
      <w:tr>
        <w:tc>
          <w:tcPr>
            <w:tcW w:type="dxa" w:w="2088"/>
            <w:vAlign w:val="center"/>
            <w:shd w:fill="F3F6F8"/>
          </w:tcPr>
          <w:p>
            <w:pPr>
              <w:spacing w:after="20"/>
            </w:pPr>
            <w:r/>
            <w:r>
              <w:rPr>
                <w:rFonts w:ascii="Calibri" w:hAnsi="Calibri"/>
                <w:b w:val="0"/>
                <w:color w:val="243746"/>
                <w:sz w:val="17"/>
              </w:rPr>
              <w:t>Counts</w:t>
            </w:r>
          </w:p>
        </w:tc>
        <w:tc>
          <w:tcPr>
            <w:tcW w:type="dxa" w:w="8280"/>
            <w:vAlign w:val="center"/>
            <w:shd w:fill="F3F6F8"/>
          </w:tcPr>
          <w:p>
            <w:pPr>
              <w:spacing w:after="20"/>
            </w:pPr>
            <w:r/>
            <w:r>
              <w:rPr>
                <w:rFonts w:ascii="Calibri" w:hAnsi="Calibri"/>
                <w:b w:val="0"/>
                <w:color w:val="243746"/>
                <w:sz w:val="17"/>
              </w:rPr>
              <w:t>Non-null review_count values are non-negative integers.</w:t>
            </w:r>
          </w:p>
        </w:tc>
      </w:tr>
      <w:tr>
        <w:tc>
          <w:tcPr>
            <w:tcW w:type="dxa" w:w="2088"/>
            <w:vAlign w:val="center"/>
          </w:tcPr>
          <w:p>
            <w:pPr>
              <w:spacing w:after="20"/>
            </w:pPr>
            <w:r/>
            <w:r>
              <w:rPr>
                <w:rFonts w:ascii="Calibri" w:hAnsi="Calibri"/>
                <w:b w:val="0"/>
                <w:color w:val="243746"/>
                <w:sz w:val="17"/>
              </w:rPr>
              <w:t>Accounting</w:t>
            </w:r>
          </w:p>
        </w:tc>
        <w:tc>
          <w:tcPr>
            <w:tcW w:type="dxa" w:w="8280"/>
            <w:vAlign w:val="center"/>
          </w:tcPr>
          <w:p>
            <w:pPr>
              <w:spacing w:after="20"/>
            </w:pPr>
            <w:r/>
            <w:r>
              <w:rPr>
                <w:rFonts w:ascii="Calibri" w:hAnsi="Calibri"/>
                <w:b w:val="0"/>
                <w:color w:val="243746"/>
                <w:sz w:val="17"/>
              </w:rPr>
              <w:t>Raw rows reconcile exactly to retained, quarantined and deduplicated/excluded records.</w:t>
            </w:r>
          </w:p>
        </w:tc>
      </w:tr>
      <w:tr>
        <w:tc>
          <w:tcPr>
            <w:tcW w:type="dxa" w:w="2088"/>
            <w:vAlign w:val="center"/>
            <w:shd w:fill="F3F6F8"/>
          </w:tcPr>
          <w:p>
            <w:pPr>
              <w:spacing w:after="20"/>
            </w:pPr>
            <w:r/>
            <w:r>
              <w:rPr>
                <w:rFonts w:ascii="Calibri" w:hAnsi="Calibri"/>
                <w:b w:val="0"/>
                <w:color w:val="243746"/>
                <w:sz w:val="17"/>
              </w:rPr>
              <w:t>Missingness</w:t>
            </w:r>
          </w:p>
        </w:tc>
        <w:tc>
          <w:tcPr>
            <w:tcW w:type="dxa" w:w="8280"/>
            <w:vAlign w:val="center"/>
            <w:shd w:fill="F3F6F8"/>
          </w:tcPr>
          <w:p>
            <w:pPr>
              <w:spacing w:after="20"/>
            </w:pPr>
            <w:r/>
            <w:r>
              <w:rPr>
                <w:rFonts w:ascii="Calibri" w:hAnsi="Calibri"/>
                <w:b w:val="0"/>
                <w:color w:val="243746"/>
                <w:sz w:val="17"/>
              </w:rPr>
              <w:t>Before/after null counts and reasons are generated for every field.</w:t>
            </w:r>
          </w:p>
        </w:tc>
      </w:tr>
      <w:tr>
        <w:tc>
          <w:tcPr>
            <w:tcW w:type="dxa" w:w="2088"/>
            <w:vAlign w:val="center"/>
          </w:tcPr>
          <w:p>
            <w:pPr>
              <w:spacing w:after="20"/>
            </w:pPr>
            <w:r/>
            <w:r>
              <w:rPr>
                <w:rFonts w:ascii="Calibri" w:hAnsi="Calibri"/>
                <w:b w:val="0"/>
                <w:color w:val="243746"/>
                <w:sz w:val="17"/>
              </w:rPr>
              <w:t>Determinism</w:t>
            </w:r>
          </w:p>
        </w:tc>
        <w:tc>
          <w:tcPr>
            <w:tcW w:type="dxa" w:w="8280"/>
            <w:vAlign w:val="center"/>
          </w:tcPr>
          <w:p>
            <w:pPr>
              <w:spacing w:after="20"/>
            </w:pPr>
            <w:r/>
            <w:r>
              <w:rPr>
                <w:rFonts w:ascii="Calibri" w:hAnsi="Calibri"/>
                <w:b w:val="0"/>
                <w:color w:val="243746"/>
                <w:sz w:val="17"/>
              </w:rPr>
              <w:t>Same input hash, code version and configuration yield the same cleaned output hash.</w:t>
            </w:r>
          </w:p>
        </w:tc>
      </w:tr>
      <w:tr>
        <w:tc>
          <w:tcPr>
            <w:tcW w:type="dxa" w:w="2088"/>
            <w:vAlign w:val="center"/>
            <w:shd w:fill="F3F6F8"/>
          </w:tcPr>
          <w:p>
            <w:pPr>
              <w:spacing w:after="20"/>
            </w:pPr>
            <w:r/>
            <w:r>
              <w:rPr>
                <w:rFonts w:ascii="Calibri" w:hAnsi="Calibri"/>
                <w:b w:val="0"/>
                <w:color w:val="243746"/>
                <w:sz w:val="17"/>
              </w:rPr>
              <w:t>Regression</w:t>
            </w:r>
          </w:p>
        </w:tc>
        <w:tc>
          <w:tcPr>
            <w:tcW w:type="dxa" w:w="8280"/>
            <w:vAlign w:val="center"/>
            <w:shd w:fill="F3F6F8"/>
          </w:tcPr>
          <w:p>
            <w:pPr>
              <w:spacing w:after="20"/>
            </w:pPr>
            <w:r/>
            <w:r>
              <w:rPr>
                <w:rFonts w:ascii="Calibri" w:hAnsi="Calibri"/>
                <w:b w:val="0"/>
                <w:color w:val="243746"/>
                <w:sz w:val="17"/>
              </w:rPr>
              <w:t>A fixed synthetic fixture reproduces expected 10 -&gt; 9 -&gt; 8 row counts and flags.</w:t>
            </w:r>
          </w:p>
        </w:tc>
      </w:tr>
    </w:tbl>
    <w:p>
      <w:pPr>
        <w:spacing w:after="20"/>
      </w:pPr>
    </w:p>
    <w:p>
      <w:pPr>
        <w:spacing w:after="100"/>
      </w:pPr>
      <w:r>
        <w:t>A practical test suite should include: identifier “000123” remains text; comma-separated count parses only under the declared locale; blank ingredient is not replaced with an empty list; 8.2 is invalid for a documented 1–5 rating; negative price becomes missing plus a flag; exact duplicate is counted; conflicting same-ID records raise a review condition; and unknown categories remain visible.</w:t>
      </w:r>
    </w:p>
    <w:p>
      <w:pPr>
        <w:pStyle w:val="Heading2"/>
        <w:keepNext/>
      </w:pPr>
      <w:r>
        <w:t>10.3 Example run manifest fields</w:t>
      </w:r>
    </w:p>
    <w:p>
      <w:pPr>
        <w:spacing w:after="0" w:line="240" w:lineRule="auto"/>
        <w:ind w:left="259" w:right="173"/>
        <w:shd w:fill="F1F4F6"/>
      </w:pPr>
      <w:r>
        <w:rPr>
          <w:rFonts w:ascii="Consolas" w:hAnsi="Consolas"/>
          <w:color w:val="263238"/>
          <w:sz w:val="15"/>
        </w:rPr>
        <w:t>{</w:t>
      </w:r>
    </w:p>
    <w:p>
      <w:pPr>
        <w:spacing w:after="0" w:line="240" w:lineRule="auto"/>
        <w:ind w:left="259" w:right="173"/>
        <w:shd w:fill="F1F4F6"/>
      </w:pPr>
      <w:r>
        <w:rPr>
          <w:rFonts w:ascii="Consolas" w:hAnsi="Consolas"/>
          <w:color w:val="263238"/>
          <w:sz w:val="15"/>
        </w:rPr>
        <w:t xml:space="preserve">  "run_id": "catalog-clean-2026-10-07T000000Z",</w:t>
      </w:r>
    </w:p>
    <w:p>
      <w:pPr>
        <w:spacing w:after="0" w:line="240" w:lineRule="auto"/>
        <w:ind w:left="259" w:right="173"/>
        <w:shd w:fill="F1F4F6"/>
      </w:pPr>
      <w:r>
        <w:rPr>
          <w:rFonts w:ascii="Consolas" w:hAnsi="Consolas"/>
          <w:color w:val="263238"/>
          <w:sz w:val="15"/>
        </w:rPr>
        <w:t xml:space="preserve">  "source_snapshot_sha256": "&lt;computed from source bytes&gt;",</w:t>
      </w:r>
    </w:p>
    <w:p>
      <w:pPr>
        <w:spacing w:after="0" w:line="240" w:lineRule="auto"/>
        <w:ind w:left="259" w:right="173"/>
        <w:shd w:fill="F1F4F6"/>
      </w:pPr>
      <w:r>
        <w:rPr>
          <w:rFonts w:ascii="Consolas" w:hAnsi="Consolas"/>
          <w:color w:val="263238"/>
          <w:sz w:val="15"/>
        </w:rPr>
        <w:t xml:space="preserve">  "source_uri": "&lt;exact export endpoint or file reference&gt;",</w:t>
      </w:r>
    </w:p>
    <w:p>
      <w:pPr>
        <w:spacing w:after="0" w:line="240" w:lineRule="auto"/>
        <w:ind w:left="259" w:right="173"/>
        <w:shd w:fill="F1F4F6"/>
      </w:pPr>
      <w:r>
        <w:rPr>
          <w:rFonts w:ascii="Consolas" w:hAnsi="Consolas"/>
          <w:color w:val="263238"/>
          <w:sz w:val="15"/>
        </w:rPr>
        <w:t xml:space="preserve">  "retrieved_at_utc": "2026-10-07T00:00:00Z",</w:t>
      </w:r>
    </w:p>
    <w:p>
      <w:pPr>
        <w:spacing w:after="0" w:line="240" w:lineRule="auto"/>
        <w:ind w:left="259" w:right="173"/>
        <w:shd w:fill="F1F4F6"/>
      </w:pPr>
      <w:r>
        <w:rPr>
          <w:rFonts w:ascii="Consolas" w:hAnsi="Consolas"/>
          <w:color w:val="263238"/>
          <w:sz w:val="15"/>
        </w:rPr>
        <w:t xml:space="preserve">  "cleaning_code_version": "&lt;git commit or release tag&gt;",</w:t>
      </w:r>
    </w:p>
    <w:p>
      <w:pPr>
        <w:spacing w:after="0" w:line="240" w:lineRule="auto"/>
        <w:ind w:left="259" w:right="173"/>
        <w:shd w:fill="F1F4F6"/>
      </w:pPr>
      <w:r>
        <w:rPr>
          <w:rFonts w:ascii="Consolas" w:hAnsi="Consolas"/>
          <w:color w:val="263238"/>
          <w:sz w:val="15"/>
        </w:rPr>
        <w:t xml:space="preserve">  "python_version": "&lt;recorded at execution&gt;",</w:t>
      </w:r>
    </w:p>
    <w:p>
      <w:pPr>
        <w:spacing w:after="0" w:line="240" w:lineRule="auto"/>
        <w:ind w:left="259" w:right="173"/>
        <w:shd w:fill="F1F4F6"/>
      </w:pPr>
      <w:r>
        <w:rPr>
          <w:rFonts w:ascii="Consolas" w:hAnsi="Consolas"/>
          <w:color w:val="263238"/>
          <w:sz w:val="15"/>
        </w:rPr>
        <w:t xml:space="preserve">  "pandas_version": "&lt;recorded at execution&gt;",</w:t>
      </w:r>
    </w:p>
    <w:p>
      <w:pPr>
        <w:spacing w:after="0" w:line="240" w:lineRule="auto"/>
        <w:ind w:left="259" w:right="173"/>
        <w:shd w:fill="F1F4F6"/>
      </w:pPr>
      <w:r>
        <w:rPr>
          <w:rFonts w:ascii="Consolas" w:hAnsi="Consolas"/>
          <w:color w:val="263238"/>
          <w:sz w:val="15"/>
        </w:rPr>
        <w:t xml:space="preserve">  "locale_rules": {"review_count": "comma thousands; confirmed"},</w:t>
      </w:r>
    </w:p>
    <w:p>
      <w:pPr>
        <w:spacing w:after="0" w:line="240" w:lineRule="auto"/>
        <w:ind w:left="259" w:right="173"/>
        <w:shd w:fill="F1F4F6"/>
      </w:pPr>
      <w:r>
        <w:rPr>
          <w:rFonts w:ascii="Consolas" w:hAnsi="Consolas"/>
          <w:color w:val="263238"/>
          <w:sz w:val="15"/>
        </w:rPr>
        <w:t xml:space="preserve">  "row_counts": {"raw": 10, "exact_duplicate_removed": 1,</w:t>
      </w:r>
    </w:p>
    <w:p>
      <w:pPr>
        <w:spacing w:after="0" w:line="240" w:lineRule="auto"/>
        <w:ind w:left="259" w:right="173"/>
        <w:shd w:fill="F1F4F6"/>
      </w:pPr>
      <w:r>
        <w:rPr>
          <w:rFonts w:ascii="Consolas" w:hAnsi="Consolas"/>
          <w:color w:val="263238"/>
          <w:sz w:val="15"/>
        </w:rPr>
        <w:t xml:space="preserve">                 "quarantined": 1, "retained": 8},</w:t>
      </w:r>
    </w:p>
    <w:p>
      <w:pPr>
        <w:spacing w:after="0" w:line="240" w:lineRule="auto"/>
        <w:ind w:left="259" w:right="173"/>
        <w:shd w:fill="F1F4F6"/>
      </w:pPr>
      <w:r>
        <w:rPr>
          <w:rFonts w:ascii="Consolas" w:hAnsi="Consolas"/>
          <w:color w:val="263238"/>
          <w:sz w:val="15"/>
        </w:rPr>
        <w:t xml:space="preserve">  "outputs": ["cleaned_catalog.csv", "quarantine.csv", "quality_report.json"]</w:t>
      </w:r>
    </w:p>
    <w:p>
      <w:pPr>
        <w:spacing w:after="0" w:line="240" w:lineRule="auto"/>
        <w:ind w:left="259" w:right="173"/>
        <w:shd w:fill="F1F4F6"/>
      </w:pPr>
      <w:r>
        <w:rPr>
          <w:rFonts w:ascii="Consolas" w:hAnsi="Consolas"/>
          <w:color w:val="263238"/>
          <w:sz w:val="15"/>
        </w:rPr>
        <w:t>}</w:t>
      </w:r>
    </w:p>
    <w:p>
      <w:pPr>
        <w:spacing w:after="100"/>
      </w:pPr>
      <w:r>
        <w:t>The example manifest uses the synthetic demonstration's counts and a placeholder source hash; for a real run, calculate the hash and record actual software versions rather than copying placeholders.</w:t>
      </w:r>
    </w:p>
    <w:p>
      <w:pPr>
        <w:pStyle w:val="Heading1"/>
        <w:keepNext/>
      </w:pPr>
      <w:r>
        <w:t>11. How preparation supports analysis and modeling</w:t>
      </w:r>
    </w:p>
    <w:p>
      <w:pPr>
        <w:pStyle w:val="ListBullet"/>
        <w:spacing w:after="40"/>
      </w:pPr>
      <w:r>
        <w:t>Comparable features: standardized units and currency/date context make price-per-quantity comparisons interpretable within valid dimensions.</w:t>
      </w:r>
    </w:p>
    <w:p>
      <w:pPr>
        <w:pStyle w:val="ListBullet"/>
        <w:spacing w:after="40"/>
      </w:pPr>
      <w:r>
        <w:t>Reduced measurement error: explicit rating bounds, count types and category maps prevent malformed strings and inconsistent labels from becoming false numeric/category signals.</w:t>
      </w:r>
    </w:p>
    <w:p>
      <w:pPr>
        <w:pStyle w:val="ListBullet"/>
        <w:spacing w:after="40"/>
      </w:pPr>
      <w:r>
        <w:t>Less selection bias: recording denominators, missingness patterns and quarantine counts exposes which products are omitted and why.</w:t>
      </w:r>
    </w:p>
    <w:p>
      <w:pPr>
        <w:pStyle w:val="ListBullet"/>
        <w:spacing w:after="40"/>
      </w:pPr>
      <w:r>
        <w:t>Safer feature engineering: ingredient presence/token features can be derived reproducibly while original ordered text remains auditable.</w:t>
      </w:r>
    </w:p>
    <w:p>
      <w:pPr>
        <w:pStyle w:val="ListBullet"/>
        <w:spacing w:after="40"/>
      </w:pPr>
      <w:r>
        <w:t>Reliable model evaluation: train-only transformations reduce leakage and keep test performance closer to expected deployment performance.</w:t>
      </w:r>
    </w:p>
    <w:p>
      <w:pPr>
        <w:pStyle w:val="ListBullet"/>
        <w:spacing w:after="40"/>
      </w:pPr>
      <w:r>
        <w:t>Defensible conclusions: provenance, exceptions and sensitivity checks help distinguish a source limitation from a true market pattern.</w:t>
      </w:r>
    </w:p>
    <w:p>
      <w:pPr>
        <w:pStyle w:val="Heading2"/>
        <w:keepNext/>
      </w:pPr>
      <w:r>
        <w:t>11.1 Example features and safeguards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vAlign w:val="center"/>
            <w:shd w:fill="17365D"/>
          </w:tcPr>
          <w:p>
            <w:pPr>
              <w:spacing w:after="20"/>
            </w:pPr>
            <w:r/>
            <w:r>
              <w:rPr>
                <w:rFonts w:ascii="Calibri" w:hAnsi="Calibri"/>
                <w:b/>
                <w:color w:val="FFFFFF"/>
                <w:sz w:val="16"/>
              </w:rPr>
              <w:t>FEATURE / ANALYSIS</w:t>
            </w:r>
          </w:p>
        </w:tc>
        <w:tc>
          <w:tcPr>
            <w:tcW w:type="dxa" w:w="3672"/>
            <w:vAlign w:val="center"/>
            <w:shd w:fill="17365D"/>
          </w:tcPr>
          <w:p>
            <w:pPr>
              <w:spacing w:after="20"/>
            </w:pPr>
            <w:r/>
            <w:r>
              <w:rPr>
                <w:rFonts w:ascii="Calibri" w:hAnsi="Calibri"/>
                <w:b/>
                <w:color w:val="FFFFFF"/>
                <w:sz w:val="16"/>
              </w:rPr>
              <w:t>CONSTRUCTION</w:t>
            </w:r>
          </w:p>
        </w:tc>
        <w:tc>
          <w:tcPr>
            <w:tcW w:type="dxa" w:w="4536"/>
            <w:vAlign w:val="center"/>
            <w:shd w:fill="17365D"/>
          </w:tcPr>
          <w:p>
            <w:pPr>
              <w:spacing w:after="20"/>
            </w:pPr>
            <w:r/>
            <w:r>
              <w:rPr>
                <w:rFonts w:ascii="Calibri" w:hAnsi="Calibri"/>
                <w:b/>
                <w:color w:val="FFFFFF"/>
                <w:sz w:val="16"/>
              </w:rPr>
              <w:t>KEY SAFEGUARD</w:t>
            </w:r>
          </w:p>
        </w:tc>
      </w:tr>
      <w:tr>
        <w:tc>
          <w:tcPr>
            <w:tcW w:type="dxa" w:w="2160"/>
            <w:vAlign w:val="center"/>
          </w:tcPr>
          <w:p>
            <w:pPr>
              <w:spacing w:after="20"/>
            </w:pPr>
            <w:r/>
            <w:r>
              <w:rPr>
                <w:rFonts w:ascii="Calibri" w:hAnsi="Calibri"/>
                <w:b w:val="0"/>
                <w:color w:val="243746"/>
                <w:sz w:val="16"/>
              </w:rPr>
              <w:t>Listed price per 100 mL</w:t>
            </w:r>
          </w:p>
        </w:tc>
        <w:tc>
          <w:tcPr>
            <w:tcW w:type="dxa" w:w="3672"/>
            <w:vAlign w:val="center"/>
          </w:tcPr>
          <w:p>
            <w:pPr>
              <w:spacing w:after="20"/>
            </w:pPr>
            <w:r/>
            <w:r>
              <w:rPr>
                <w:rFonts w:ascii="Calibri" w:hAnsi="Calibri"/>
                <w:b w:val="0"/>
                <w:color w:val="243746"/>
                <w:sz w:val="16"/>
              </w:rPr>
              <w:t>price / (size_mL / 100)</w:t>
            </w:r>
          </w:p>
        </w:tc>
        <w:tc>
          <w:tcPr>
            <w:tcW w:type="dxa" w:w="4536"/>
            <w:vAlign w:val="center"/>
          </w:tcPr>
          <w:p>
            <w:pPr>
              <w:spacing w:after="20"/>
            </w:pPr>
            <w:r/>
            <w:r>
              <w:rPr>
                <w:rFonts w:ascii="Calibri" w:hAnsi="Calibri"/>
                <w:b w:val="0"/>
                <w:color w:val="243746"/>
                <w:sz w:val="16"/>
              </w:rPr>
              <w:t>Only same currency/date basis and volume units; exclude mass units; require positive size.</w:t>
            </w:r>
          </w:p>
        </w:tc>
      </w:tr>
      <w:tr>
        <w:tc>
          <w:tcPr>
            <w:tcW w:type="dxa" w:w="2160"/>
            <w:vAlign w:val="center"/>
            <w:shd w:fill="F3F6F8"/>
          </w:tcPr>
          <w:p>
            <w:pPr>
              <w:spacing w:after="20"/>
            </w:pPr>
            <w:r/>
            <w:r>
              <w:rPr>
                <w:rFonts w:ascii="Calibri" w:hAnsi="Calibri"/>
                <w:b w:val="0"/>
                <w:color w:val="243746"/>
                <w:sz w:val="16"/>
              </w:rPr>
              <w:t>Ingredient-list availability</w:t>
            </w:r>
          </w:p>
        </w:tc>
        <w:tc>
          <w:tcPr>
            <w:tcW w:type="dxa" w:w="3672"/>
            <w:vAlign w:val="center"/>
            <w:shd w:fill="F3F6F8"/>
          </w:tcPr>
          <w:p>
            <w:pPr>
              <w:spacing w:after="20"/>
            </w:pPr>
            <w:r/>
            <w:r>
              <w:rPr>
                <w:rFonts w:ascii="Calibri" w:hAnsi="Calibri"/>
                <w:b w:val="0"/>
                <w:color w:val="243746"/>
                <w:sz w:val="16"/>
              </w:rPr>
              <w:t>Boolean from nonblank list</w:t>
            </w:r>
          </w:p>
        </w:tc>
        <w:tc>
          <w:tcPr>
            <w:tcW w:type="dxa" w:w="4536"/>
            <w:vAlign w:val="center"/>
            <w:shd w:fill="F3F6F8"/>
          </w:tcPr>
          <w:p>
            <w:pPr>
              <w:spacing w:after="20"/>
            </w:pPr>
            <w:r/>
            <w:r>
              <w:rPr>
                <w:rFonts w:ascii="Calibri" w:hAnsi="Calibri"/>
                <w:b w:val="0"/>
                <w:color w:val="243746"/>
                <w:sz w:val="16"/>
              </w:rPr>
              <w:t>Means catalog field populated, not product quality or absence/presence of a particular substance.</w:t>
            </w:r>
          </w:p>
        </w:tc>
      </w:tr>
      <w:tr>
        <w:tc>
          <w:tcPr>
            <w:tcW w:type="dxa" w:w="2160"/>
            <w:vAlign w:val="center"/>
          </w:tcPr>
          <w:p>
            <w:pPr>
              <w:spacing w:after="20"/>
            </w:pPr>
            <w:r/>
            <w:r>
              <w:rPr>
                <w:rFonts w:ascii="Calibri" w:hAnsi="Calibri"/>
                <w:b w:val="0"/>
                <w:color w:val="243746"/>
                <w:sz w:val="16"/>
              </w:rPr>
              <w:t>Ingredient token indicators</w:t>
            </w:r>
          </w:p>
        </w:tc>
        <w:tc>
          <w:tcPr>
            <w:tcW w:type="dxa" w:w="3672"/>
            <w:vAlign w:val="center"/>
          </w:tcPr>
          <w:p>
            <w:pPr>
              <w:spacing w:after="20"/>
            </w:pPr>
            <w:r/>
            <w:r>
              <w:rPr>
                <w:rFonts w:ascii="Calibri" w:hAnsi="Calibri"/>
                <w:b w:val="0"/>
                <w:color w:val="243746"/>
                <w:sz w:val="16"/>
              </w:rPr>
              <w:t>Versioned dictionary/tokenizer on raw list</w:t>
            </w:r>
          </w:p>
        </w:tc>
        <w:tc>
          <w:tcPr>
            <w:tcW w:type="dxa" w:w="4536"/>
            <w:vAlign w:val="center"/>
          </w:tcPr>
          <w:p>
            <w:pPr>
              <w:spacing w:after="20"/>
            </w:pPr>
            <w:r/>
            <w:r>
              <w:rPr>
                <w:rFonts w:ascii="Calibri" w:hAnsi="Calibri"/>
                <w:b w:val="0"/>
                <w:color w:val="243746"/>
                <w:sz w:val="16"/>
              </w:rPr>
              <w:t>Preserve INCI spelling/order; document delimiter and synonym policy; manually audit sample.</w:t>
            </w:r>
          </w:p>
        </w:tc>
      </w:tr>
      <w:tr>
        <w:tc>
          <w:tcPr>
            <w:tcW w:type="dxa" w:w="2160"/>
            <w:vAlign w:val="center"/>
            <w:shd w:fill="F3F6F8"/>
          </w:tcPr>
          <w:p>
            <w:pPr>
              <w:spacing w:after="20"/>
            </w:pPr>
            <w:r/>
            <w:r>
              <w:rPr>
                <w:rFonts w:ascii="Calibri" w:hAnsi="Calibri"/>
                <w:b w:val="0"/>
                <w:color w:val="243746"/>
                <w:sz w:val="16"/>
              </w:rPr>
              <w:t>Rating</w:t>
            </w:r>
          </w:p>
        </w:tc>
        <w:tc>
          <w:tcPr>
            <w:tcW w:type="dxa" w:w="3672"/>
            <w:vAlign w:val="center"/>
            <w:shd w:fill="F3F6F8"/>
          </w:tcPr>
          <w:p>
            <w:pPr>
              <w:spacing w:after="20"/>
            </w:pPr>
            <w:r/>
            <w:r>
              <w:rPr>
                <w:rFonts w:ascii="Calibri" w:hAnsi="Calibri"/>
                <w:b w:val="0"/>
                <w:color w:val="243746"/>
                <w:sz w:val="16"/>
              </w:rPr>
              <w:t>Validated numeric source value</w:t>
            </w:r>
          </w:p>
        </w:tc>
        <w:tc>
          <w:tcPr>
            <w:tcW w:type="dxa" w:w="4536"/>
            <w:vAlign w:val="center"/>
            <w:shd w:fill="F3F6F8"/>
          </w:tcPr>
          <w:p>
            <w:pPr>
              <w:spacing w:after="20"/>
            </w:pPr>
            <w:r/>
            <w:r>
              <w:rPr>
                <w:rFonts w:ascii="Calibri" w:hAnsi="Calibri"/>
                <w:b w:val="0"/>
                <w:color w:val="243746"/>
                <w:sz w:val="16"/>
              </w:rPr>
              <w:t>Include n/rating denominator; do not impute for descriptive mean.</w:t>
            </w:r>
          </w:p>
        </w:tc>
      </w:tr>
      <w:tr>
        <w:tc>
          <w:tcPr>
            <w:tcW w:type="dxa" w:w="2160"/>
            <w:vAlign w:val="center"/>
          </w:tcPr>
          <w:p>
            <w:pPr>
              <w:spacing w:after="20"/>
            </w:pPr>
            <w:r/>
            <w:r>
              <w:rPr>
                <w:rFonts w:ascii="Calibri" w:hAnsi="Calibri"/>
                <w:b w:val="0"/>
                <w:color w:val="243746"/>
                <w:sz w:val="16"/>
              </w:rPr>
              <w:t>Review-count feature</w:t>
            </w:r>
          </w:p>
        </w:tc>
        <w:tc>
          <w:tcPr>
            <w:tcW w:type="dxa" w:w="3672"/>
            <w:vAlign w:val="center"/>
          </w:tcPr>
          <w:p>
            <w:pPr>
              <w:spacing w:after="20"/>
            </w:pPr>
            <w:r/>
            <w:r>
              <w:rPr>
                <w:rFonts w:ascii="Calibri" w:hAnsi="Calibri"/>
                <w:b w:val="0"/>
                <w:color w:val="243746"/>
                <w:sz w:val="16"/>
              </w:rPr>
              <w:t>Integer or log1p count</w:t>
            </w:r>
          </w:p>
        </w:tc>
        <w:tc>
          <w:tcPr>
            <w:tcW w:type="dxa" w:w="4536"/>
            <w:vAlign w:val="center"/>
          </w:tcPr>
          <w:p>
            <w:pPr>
              <w:spacing w:after="20"/>
            </w:pPr>
            <w:r/>
            <w:r>
              <w:rPr>
                <w:rFonts w:ascii="Calibri" w:hAnsi="Calibri"/>
                <w:b w:val="0"/>
                <w:color w:val="243746"/>
                <w:sz w:val="16"/>
              </w:rPr>
              <w:t>Highly skewed; do not interpret as sales or population preference.</w:t>
            </w:r>
          </w:p>
        </w:tc>
      </w:tr>
      <w:tr>
        <w:tc>
          <w:tcPr>
            <w:tcW w:type="dxa" w:w="2160"/>
            <w:vAlign w:val="center"/>
            <w:shd w:fill="F3F6F8"/>
          </w:tcPr>
          <w:p>
            <w:pPr>
              <w:spacing w:after="20"/>
            </w:pPr>
            <w:r/>
            <w:r>
              <w:rPr>
                <w:rFonts w:ascii="Calibri" w:hAnsi="Calibri"/>
                <w:b w:val="0"/>
                <w:color w:val="243746"/>
                <w:sz w:val="16"/>
              </w:rPr>
              <w:t>Category</w:t>
            </w:r>
          </w:p>
        </w:tc>
        <w:tc>
          <w:tcPr>
            <w:tcW w:type="dxa" w:w="3672"/>
            <w:vAlign w:val="center"/>
            <w:shd w:fill="F3F6F8"/>
          </w:tcPr>
          <w:p>
            <w:pPr>
              <w:spacing w:after="20"/>
            </w:pPr>
            <w:r/>
            <w:r>
              <w:rPr>
                <w:rFonts w:ascii="Calibri" w:hAnsi="Calibri"/>
                <w:b w:val="0"/>
                <w:color w:val="243746"/>
                <w:sz w:val="16"/>
              </w:rPr>
              <w:t>Mapped nominal category</w:t>
            </w:r>
          </w:p>
        </w:tc>
        <w:tc>
          <w:tcPr>
            <w:tcW w:type="dxa" w:w="4536"/>
            <w:vAlign w:val="center"/>
            <w:shd w:fill="F3F6F8"/>
          </w:tcPr>
          <w:p>
            <w:pPr>
              <w:spacing w:after="20"/>
            </w:pPr>
            <w:r/>
            <w:r>
              <w:rPr>
                <w:rFonts w:ascii="Calibri" w:hAnsi="Calibri"/>
                <w:b w:val="0"/>
                <w:color w:val="243746"/>
                <w:sz w:val="16"/>
              </w:rPr>
              <w:t>Retain unmapped level; fit one-hot vocabulary on training data.</w:t>
            </w:r>
          </w:p>
        </w:tc>
      </w:tr>
    </w:tbl>
    <w:p>
      <w:pPr>
        <w:spacing w:after="20"/>
      </w:pPr>
    </w:p>
    <w:p>
      <w:pPr>
        <w:spacing w:after="100"/>
      </w:pPr>
      <w:r>
        <w:t>A product-rating prediction task may have target leakage if review_count, review-derived fields or future snapshots are used to predict historical ratings. Define a prediction timestamp and exclude features unavailable at that time. Random train/test splits can also leak near-duplicate products or brands across folds; consider grouped or time-based evaluation depending on the deployment question.</w:t>
      </w:r>
    </w:p>
    <w:p>
      <w:pPr>
        <w:pStyle w:val="Heading1"/>
        <w:keepNext/>
      </w:pPr>
      <w:r>
        <w:t>12. Planned 33-hour execution schedule</w:t>
      </w:r>
    </w:p>
    <w:p>
      <w:pPr>
        <w:spacing w:after="100"/>
      </w:pPr>
      <w:r>
        <w:t>The requested 30–35-hour engagement is addressed as a realistic planned work allocation. It is not a claim that these hours have already been completed. Each block should produce a reviewable artifact.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4320"/>
            <w:vAlign w:val="center"/>
            <w:shd w:fill="17365D"/>
          </w:tcPr>
          <w:p>
            <w:pPr>
              <w:spacing w:after="20"/>
            </w:pPr>
            <w:r/>
            <w:r>
              <w:rPr>
                <w:rFonts w:ascii="Calibri" w:hAnsi="Calibri"/>
                <w:b/>
                <w:color w:val="FFFFFF"/>
                <w:sz w:val="16"/>
              </w:rPr>
              <w:t>WORK BLOCK</w:t>
            </w:r>
          </w:p>
        </w:tc>
        <w:tc>
          <w:tcPr>
            <w:tcW w:type="dxa" w:w="1152"/>
            <w:vAlign w:val="center"/>
            <w:shd w:fill="17365D"/>
          </w:tcPr>
          <w:p>
            <w:pPr>
              <w:spacing w:after="20"/>
            </w:pPr>
            <w:r/>
            <w:r>
              <w:rPr>
                <w:rFonts w:ascii="Calibri" w:hAnsi="Calibri"/>
                <w:b/>
                <w:color w:val="FFFFFF"/>
                <w:sz w:val="16"/>
              </w:rPr>
              <w:t>HOURS</w:t>
            </w:r>
          </w:p>
        </w:tc>
        <w:tc>
          <w:tcPr>
            <w:tcW w:type="dxa" w:w="4896"/>
            <w:vAlign w:val="center"/>
            <w:shd w:fill="17365D"/>
          </w:tcPr>
          <w:p>
            <w:pPr>
              <w:spacing w:after="20"/>
            </w:pPr>
            <w:r/>
            <w:r>
              <w:rPr>
                <w:rFonts w:ascii="Calibri" w:hAnsi="Calibri"/>
                <w:b/>
                <w:color w:val="FFFFFF"/>
                <w:sz w:val="16"/>
              </w:rPr>
              <w:t>PRACTICAL OUTPUT / EXIT CRITERION</w:t>
            </w:r>
          </w:p>
        </w:tc>
      </w:tr>
      <w:tr>
        <w:tc>
          <w:tcPr>
            <w:tcW w:type="dxa" w:w="4320"/>
            <w:vAlign w:val="center"/>
          </w:tcPr>
          <w:p>
            <w:pPr>
              <w:spacing w:after="20"/>
            </w:pPr>
            <w:r/>
            <w:r>
              <w:rPr>
                <w:rFonts w:ascii="Calibri" w:hAnsi="Calibri"/>
                <w:b w:val="0"/>
                <w:color w:val="243746"/>
                <w:sz w:val="16"/>
              </w:rPr>
              <w:t>Define use case, unit, scope and acceptance criteria</w:t>
            </w:r>
          </w:p>
        </w:tc>
        <w:tc>
          <w:tcPr>
            <w:tcW w:type="dxa" w:w="1152"/>
            <w:vAlign w:val="center"/>
          </w:tcPr>
          <w:p>
            <w:pPr>
              <w:spacing w:after="20"/>
            </w:pPr>
            <w:r/>
            <w:r>
              <w:rPr>
                <w:rFonts w:ascii="Calibri" w:hAnsi="Calibri"/>
                <w:b w:val="0"/>
                <w:color w:val="243746"/>
                <w:sz w:val="16"/>
              </w:rPr>
              <w:t>2.0</w:t>
            </w:r>
          </w:p>
        </w:tc>
        <w:tc>
          <w:tcPr>
            <w:tcW w:type="dxa" w:w="4896"/>
            <w:vAlign w:val="center"/>
          </w:tcPr>
          <w:p>
            <w:pPr>
              <w:spacing w:after="20"/>
            </w:pPr>
            <w:r/>
            <w:r>
              <w:rPr>
                <w:rFonts w:ascii="Calibri" w:hAnsi="Calibri"/>
                <w:b w:val="0"/>
                <w:color w:val="243746"/>
                <w:sz w:val="16"/>
              </w:rPr>
              <w:t>Question brief, inclusion/exclusion rules, product-vs-variant definition.</w:t>
            </w:r>
          </w:p>
        </w:tc>
      </w:tr>
      <w:tr>
        <w:tc>
          <w:tcPr>
            <w:tcW w:type="dxa" w:w="4320"/>
            <w:vAlign w:val="center"/>
            <w:shd w:fill="F3F6F8"/>
          </w:tcPr>
          <w:p>
            <w:pPr>
              <w:spacing w:after="20"/>
            </w:pPr>
            <w:r/>
            <w:r>
              <w:rPr>
                <w:rFonts w:ascii="Calibri" w:hAnsi="Calibri"/>
                <w:b w:val="0"/>
                <w:color w:val="243746"/>
                <w:sz w:val="16"/>
              </w:rPr>
              <w:t>Source and licensing investigation</w:t>
            </w:r>
          </w:p>
        </w:tc>
        <w:tc>
          <w:tcPr>
            <w:tcW w:type="dxa" w:w="1152"/>
            <w:vAlign w:val="center"/>
            <w:shd w:fill="F3F6F8"/>
          </w:tcPr>
          <w:p>
            <w:pPr>
              <w:spacing w:after="20"/>
            </w:pPr>
            <w:r/>
            <w:r>
              <w:rPr>
                <w:rFonts w:ascii="Calibri" w:hAnsi="Calibri"/>
                <w:b w:val="0"/>
                <w:color w:val="243746"/>
                <w:sz w:val="16"/>
              </w:rPr>
              <w:t>3.0</w:t>
            </w:r>
          </w:p>
        </w:tc>
        <w:tc>
          <w:tcPr>
            <w:tcW w:type="dxa" w:w="4896"/>
            <w:vAlign w:val="center"/>
            <w:shd w:fill="F3F6F8"/>
          </w:tcPr>
          <w:p>
            <w:pPr>
              <w:spacing w:after="20"/>
            </w:pPr>
            <w:r/>
            <w:r>
              <w:rPr>
                <w:rFonts w:ascii="Calibri" w:hAnsi="Calibri"/>
                <w:b w:val="0"/>
                <w:color w:val="243746"/>
                <w:sz w:val="16"/>
              </w:rPr>
              <w:t>Source comparison, official docs/license notes, field/coverage review and retrieval plan.</w:t>
            </w:r>
          </w:p>
        </w:tc>
      </w:tr>
      <w:tr>
        <w:tc>
          <w:tcPr>
            <w:tcW w:type="dxa" w:w="4320"/>
            <w:vAlign w:val="center"/>
          </w:tcPr>
          <w:p>
            <w:pPr>
              <w:spacing w:after="20"/>
            </w:pPr>
            <w:r/>
            <w:r>
              <w:rPr>
                <w:rFonts w:ascii="Calibri" w:hAnsi="Calibri"/>
                <w:b w:val="0"/>
                <w:color w:val="243746"/>
                <w:sz w:val="16"/>
              </w:rPr>
              <w:t>Acquire snapshot and build provenance</w:t>
            </w:r>
          </w:p>
        </w:tc>
        <w:tc>
          <w:tcPr>
            <w:tcW w:type="dxa" w:w="1152"/>
            <w:vAlign w:val="center"/>
          </w:tcPr>
          <w:p>
            <w:pPr>
              <w:spacing w:after="20"/>
            </w:pPr>
            <w:r/>
            <w:r>
              <w:rPr>
                <w:rFonts w:ascii="Calibri" w:hAnsi="Calibri"/>
                <w:b w:val="0"/>
                <w:color w:val="243746"/>
                <w:sz w:val="16"/>
              </w:rPr>
              <w:t>2.5</w:t>
            </w:r>
          </w:p>
        </w:tc>
        <w:tc>
          <w:tcPr>
            <w:tcW w:type="dxa" w:w="4896"/>
            <w:vAlign w:val="center"/>
          </w:tcPr>
          <w:p>
            <w:pPr>
              <w:spacing w:after="20"/>
            </w:pPr>
            <w:r/>
            <w:r>
              <w:rPr>
                <w:rFonts w:ascii="Calibri" w:hAnsi="Calibri"/>
                <w:b w:val="0"/>
                <w:color w:val="243746"/>
                <w:sz w:val="16"/>
              </w:rPr>
              <w:t>Immutable raw file, extraction log, UTC timestamp, checksum and source schema.</w:t>
            </w:r>
          </w:p>
        </w:tc>
      </w:tr>
      <w:tr>
        <w:tc>
          <w:tcPr>
            <w:tcW w:type="dxa" w:w="4320"/>
            <w:vAlign w:val="center"/>
            <w:shd w:fill="F3F6F8"/>
          </w:tcPr>
          <w:p>
            <w:pPr>
              <w:spacing w:after="20"/>
            </w:pPr>
            <w:r/>
            <w:r>
              <w:rPr>
                <w:rFonts w:ascii="Calibri" w:hAnsi="Calibri"/>
                <w:b w:val="0"/>
                <w:color w:val="243746"/>
                <w:sz w:val="16"/>
              </w:rPr>
              <w:t>Schema mapping and data dictionary</w:t>
            </w:r>
          </w:p>
        </w:tc>
        <w:tc>
          <w:tcPr>
            <w:tcW w:type="dxa" w:w="1152"/>
            <w:vAlign w:val="center"/>
            <w:shd w:fill="F3F6F8"/>
          </w:tcPr>
          <w:p>
            <w:pPr>
              <w:spacing w:after="20"/>
            </w:pPr>
            <w:r/>
            <w:r>
              <w:rPr>
                <w:rFonts w:ascii="Calibri" w:hAnsi="Calibri"/>
                <w:b w:val="0"/>
                <w:color w:val="243746"/>
                <w:sz w:val="16"/>
              </w:rPr>
              <w:t>2.5</w:t>
            </w:r>
          </w:p>
        </w:tc>
        <w:tc>
          <w:tcPr>
            <w:tcW w:type="dxa" w:w="4896"/>
            <w:vAlign w:val="center"/>
            <w:shd w:fill="F3F6F8"/>
          </w:tcPr>
          <w:p>
            <w:pPr>
              <w:spacing w:after="20"/>
            </w:pPr>
            <w:r/>
            <w:r>
              <w:rPr>
                <w:rFonts w:ascii="Calibri" w:hAnsi="Calibri"/>
                <w:b w:val="0"/>
                <w:color w:val="243746"/>
                <w:sz w:val="16"/>
              </w:rPr>
              <w:t>Canonical field definitions, types, units, required fields and policy table.</w:t>
            </w:r>
          </w:p>
        </w:tc>
      </w:tr>
      <w:tr>
        <w:tc>
          <w:tcPr>
            <w:tcW w:type="dxa" w:w="4320"/>
            <w:vAlign w:val="center"/>
          </w:tcPr>
          <w:p>
            <w:pPr>
              <w:spacing w:after="20"/>
            </w:pPr>
            <w:r/>
            <w:r>
              <w:rPr>
                <w:rFonts w:ascii="Calibri" w:hAnsi="Calibri"/>
                <w:b w:val="0"/>
                <w:color w:val="243746"/>
                <w:sz w:val="16"/>
              </w:rPr>
              <w:t>EDA and baseline quality report</w:t>
            </w:r>
          </w:p>
        </w:tc>
        <w:tc>
          <w:tcPr>
            <w:tcW w:type="dxa" w:w="1152"/>
            <w:vAlign w:val="center"/>
          </w:tcPr>
          <w:p>
            <w:pPr>
              <w:spacing w:after="20"/>
            </w:pPr>
            <w:r/>
            <w:r>
              <w:rPr>
                <w:rFonts w:ascii="Calibri" w:hAnsi="Calibri"/>
                <w:b w:val="0"/>
                <w:color w:val="243746"/>
                <w:sz w:val="16"/>
              </w:rPr>
              <w:t>4.0</w:t>
            </w:r>
          </w:p>
        </w:tc>
        <w:tc>
          <w:tcPr>
            <w:tcW w:type="dxa" w:w="4896"/>
            <w:vAlign w:val="center"/>
          </w:tcPr>
          <w:p>
            <w:pPr>
              <w:spacing w:after="20"/>
            </w:pPr>
            <w:r/>
            <w:r>
              <w:rPr>
                <w:rFonts w:ascii="Calibri" w:hAnsi="Calibri"/>
                <w:b w:val="0"/>
                <w:color w:val="243746"/>
                <w:sz w:val="16"/>
              </w:rPr>
              <w:t>Counts, missingness, duplicates, distributions, category frequencies, plots and denominator notes.</w:t>
            </w:r>
          </w:p>
        </w:tc>
      </w:tr>
      <w:tr>
        <w:tc>
          <w:tcPr>
            <w:tcW w:type="dxa" w:w="4320"/>
            <w:vAlign w:val="center"/>
            <w:shd w:fill="F3F6F8"/>
          </w:tcPr>
          <w:p>
            <w:pPr>
              <w:spacing w:after="20"/>
            </w:pPr>
            <w:r/>
            <w:r>
              <w:rPr>
                <w:rFonts w:ascii="Calibri" w:hAnsi="Calibri"/>
                <w:b w:val="0"/>
                <w:color w:val="243746"/>
                <w:sz w:val="16"/>
              </w:rPr>
              <w:t>Cleaning implementation and exception handling</w:t>
            </w:r>
          </w:p>
        </w:tc>
        <w:tc>
          <w:tcPr>
            <w:tcW w:type="dxa" w:w="1152"/>
            <w:vAlign w:val="center"/>
            <w:shd w:fill="F3F6F8"/>
          </w:tcPr>
          <w:p>
            <w:pPr>
              <w:spacing w:after="20"/>
            </w:pPr>
            <w:r/>
            <w:r>
              <w:rPr>
                <w:rFonts w:ascii="Calibri" w:hAnsi="Calibri"/>
                <w:b w:val="0"/>
                <w:color w:val="243746"/>
                <w:sz w:val="16"/>
              </w:rPr>
              <w:t>6.0</w:t>
            </w:r>
          </w:p>
        </w:tc>
        <w:tc>
          <w:tcPr>
            <w:tcW w:type="dxa" w:w="4896"/>
            <w:vAlign w:val="center"/>
            <w:shd w:fill="F3F6F8"/>
          </w:tcPr>
          <w:p>
            <w:pPr>
              <w:spacing w:after="20"/>
            </w:pPr>
            <w:r/>
            <w:r>
              <w:rPr>
                <w:rFonts w:ascii="Calibri" w:hAnsi="Calibri"/>
                <w:b w:val="0"/>
                <w:color w:val="243746"/>
                <w:sz w:val="16"/>
              </w:rPr>
              <w:t>Versioned transformation script, category/unit rules, quarantine table and audit counts.</w:t>
            </w:r>
          </w:p>
        </w:tc>
      </w:tr>
      <w:tr>
        <w:tc>
          <w:tcPr>
            <w:tcW w:type="dxa" w:w="4320"/>
            <w:vAlign w:val="center"/>
          </w:tcPr>
          <w:p>
            <w:pPr>
              <w:spacing w:after="20"/>
            </w:pPr>
            <w:r/>
            <w:r>
              <w:rPr>
                <w:rFonts w:ascii="Calibri" w:hAnsi="Calibri"/>
                <w:b w:val="0"/>
                <w:color w:val="243746"/>
                <w:sz w:val="16"/>
              </w:rPr>
              <w:t>Outlier review and domain validation</w:t>
            </w:r>
          </w:p>
        </w:tc>
        <w:tc>
          <w:tcPr>
            <w:tcW w:type="dxa" w:w="1152"/>
            <w:vAlign w:val="center"/>
          </w:tcPr>
          <w:p>
            <w:pPr>
              <w:spacing w:after="20"/>
            </w:pPr>
            <w:r/>
            <w:r>
              <w:rPr>
                <w:rFonts w:ascii="Calibri" w:hAnsi="Calibri"/>
                <w:b w:val="0"/>
                <w:color w:val="243746"/>
                <w:sz w:val="16"/>
              </w:rPr>
              <w:t>3.0</w:t>
            </w:r>
          </w:p>
        </w:tc>
        <w:tc>
          <w:tcPr>
            <w:tcW w:type="dxa" w:w="4896"/>
            <w:vAlign w:val="center"/>
          </w:tcPr>
          <w:p>
            <w:pPr>
              <w:spacing w:after="20"/>
            </w:pPr>
            <w:r/>
            <w:r>
              <w:rPr>
                <w:rFonts w:ascii="Calibri" w:hAnsi="Calibri"/>
                <w:b w:val="0"/>
                <w:color w:val="243746"/>
                <w:sz w:val="16"/>
              </w:rPr>
              <w:t>Investigated flags, documented decisions, invalid-rate summary and sensitivity notes.</w:t>
            </w:r>
          </w:p>
        </w:tc>
      </w:tr>
      <w:tr>
        <w:tc>
          <w:tcPr>
            <w:tcW w:type="dxa" w:w="4320"/>
            <w:vAlign w:val="center"/>
            <w:shd w:fill="F3F6F8"/>
          </w:tcPr>
          <w:p>
            <w:pPr>
              <w:spacing w:after="20"/>
            </w:pPr>
            <w:r/>
            <w:r>
              <w:rPr>
                <w:rFonts w:ascii="Calibri" w:hAnsi="Calibri"/>
                <w:b w:val="0"/>
                <w:color w:val="243746"/>
                <w:sz w:val="16"/>
              </w:rPr>
              <w:t>Model-view / feature pipeline design</w:t>
            </w:r>
          </w:p>
        </w:tc>
        <w:tc>
          <w:tcPr>
            <w:tcW w:type="dxa" w:w="1152"/>
            <w:vAlign w:val="center"/>
            <w:shd w:fill="F3F6F8"/>
          </w:tcPr>
          <w:p>
            <w:pPr>
              <w:spacing w:after="20"/>
            </w:pPr>
            <w:r/>
            <w:r>
              <w:rPr>
                <w:rFonts w:ascii="Calibri" w:hAnsi="Calibri"/>
                <w:b w:val="0"/>
                <w:color w:val="243746"/>
                <w:sz w:val="16"/>
              </w:rPr>
              <w:t>3.0</w:t>
            </w:r>
          </w:p>
        </w:tc>
        <w:tc>
          <w:tcPr>
            <w:tcW w:type="dxa" w:w="4896"/>
            <w:vAlign w:val="center"/>
            <w:shd w:fill="F3F6F8"/>
          </w:tcPr>
          <w:p>
            <w:pPr>
              <w:spacing w:after="20"/>
            </w:pPr>
            <w:r/>
            <w:r>
              <w:rPr>
                <w:rFonts w:ascii="Calibri" w:hAnsi="Calibri"/>
                <w:b w:val="0"/>
                <w:color w:val="243746"/>
                <w:sz w:val="16"/>
              </w:rPr>
              <w:t>Train/test-safe preprocessing plan and feature dictionary; no full-data fitting.</w:t>
            </w:r>
          </w:p>
        </w:tc>
      </w:tr>
      <w:tr>
        <w:tc>
          <w:tcPr>
            <w:tcW w:type="dxa" w:w="4320"/>
            <w:vAlign w:val="center"/>
          </w:tcPr>
          <w:p>
            <w:pPr>
              <w:spacing w:after="20"/>
            </w:pPr>
            <w:r/>
            <w:r>
              <w:rPr>
                <w:rFonts w:ascii="Calibri" w:hAnsi="Calibri"/>
                <w:b w:val="0"/>
                <w:color w:val="243746"/>
                <w:sz w:val="16"/>
              </w:rPr>
              <w:t>Tests, reconciliation and reproducibility checks</w:t>
            </w:r>
          </w:p>
        </w:tc>
        <w:tc>
          <w:tcPr>
            <w:tcW w:type="dxa" w:w="1152"/>
            <w:vAlign w:val="center"/>
          </w:tcPr>
          <w:p>
            <w:pPr>
              <w:spacing w:after="20"/>
            </w:pPr>
            <w:r/>
            <w:r>
              <w:rPr>
                <w:rFonts w:ascii="Calibri" w:hAnsi="Calibri"/>
                <w:b w:val="0"/>
                <w:color w:val="243746"/>
                <w:sz w:val="16"/>
              </w:rPr>
              <w:t>3.0</w:t>
            </w:r>
          </w:p>
        </w:tc>
        <w:tc>
          <w:tcPr>
            <w:tcW w:type="dxa" w:w="4896"/>
            <w:vAlign w:val="center"/>
          </w:tcPr>
          <w:p>
            <w:pPr>
              <w:spacing w:after="20"/>
            </w:pPr>
            <w:r/>
            <w:r>
              <w:rPr>
                <w:rFonts w:ascii="Calibri" w:hAnsi="Calibri"/>
                <w:b w:val="0"/>
                <w:color w:val="243746"/>
                <w:sz w:val="16"/>
              </w:rPr>
              <w:t>Automated tests, row accounting, stable rerun and output verification.</w:t>
            </w:r>
          </w:p>
        </w:tc>
      </w:tr>
      <w:tr>
        <w:tc>
          <w:tcPr>
            <w:tcW w:type="dxa" w:w="4320"/>
            <w:vAlign w:val="center"/>
            <w:shd w:fill="F3F6F8"/>
          </w:tcPr>
          <w:p>
            <w:pPr>
              <w:spacing w:after="20"/>
            </w:pPr>
            <w:r/>
            <w:r>
              <w:rPr>
                <w:rFonts w:ascii="Calibri" w:hAnsi="Calibri"/>
                <w:b w:val="0"/>
                <w:color w:val="243746"/>
                <w:sz w:val="16"/>
              </w:rPr>
              <w:t>Report, figures, decision log and final review</w:t>
            </w:r>
          </w:p>
        </w:tc>
        <w:tc>
          <w:tcPr>
            <w:tcW w:type="dxa" w:w="1152"/>
            <w:vAlign w:val="center"/>
            <w:shd w:fill="F3F6F8"/>
          </w:tcPr>
          <w:p>
            <w:pPr>
              <w:spacing w:after="20"/>
            </w:pPr>
            <w:r/>
            <w:r>
              <w:rPr>
                <w:rFonts w:ascii="Calibri" w:hAnsi="Calibri"/>
                <w:b w:val="0"/>
                <w:color w:val="243746"/>
                <w:sz w:val="16"/>
              </w:rPr>
              <w:t>4.0</w:t>
            </w:r>
          </w:p>
        </w:tc>
        <w:tc>
          <w:tcPr>
            <w:tcW w:type="dxa" w:w="4896"/>
            <w:vAlign w:val="center"/>
            <w:shd w:fill="F3F6F8"/>
          </w:tcPr>
          <w:p>
            <w:pPr>
              <w:spacing w:after="20"/>
            </w:pPr>
            <w:r/>
            <w:r>
              <w:rPr>
                <w:rFonts w:ascii="Calibri" w:hAnsi="Calibri"/>
                <w:b w:val="0"/>
                <w:color w:val="243746"/>
                <w:sz w:val="16"/>
              </w:rPr>
              <w:t>Completed DOCX, cited source pages, checked tables/code and quality sign-off.</w:t>
            </w:r>
          </w:p>
        </w:tc>
      </w:tr>
      <w:tr>
        <w:tc>
          <w:tcPr>
            <w:tcW w:type="dxa" w:w="4320"/>
            <w:vAlign w:val="center"/>
          </w:tcPr>
          <w:p>
            <w:pPr>
              <w:spacing w:after="20"/>
            </w:pPr>
            <w:r/>
            <w:r>
              <w:rPr>
                <w:rFonts w:ascii="Calibri" w:hAnsi="Calibri"/>
                <w:b w:val="0"/>
                <w:color w:val="243746"/>
                <w:sz w:val="16"/>
              </w:rPr>
              <w:t>TOTAL PLANNED EFFORT</w:t>
            </w:r>
          </w:p>
        </w:tc>
        <w:tc>
          <w:tcPr>
            <w:tcW w:type="dxa" w:w="1152"/>
            <w:vAlign w:val="center"/>
          </w:tcPr>
          <w:p>
            <w:pPr>
              <w:spacing w:after="20"/>
            </w:pPr>
            <w:r/>
            <w:r>
              <w:rPr>
                <w:rFonts w:ascii="Calibri" w:hAnsi="Calibri"/>
                <w:b w:val="0"/>
                <w:color w:val="243746"/>
                <w:sz w:val="16"/>
              </w:rPr>
              <w:t>33.0</w:t>
            </w:r>
          </w:p>
        </w:tc>
        <w:tc>
          <w:tcPr>
            <w:tcW w:type="dxa" w:w="4896"/>
            <w:vAlign w:val="center"/>
          </w:tcPr>
          <w:p>
            <w:pPr>
              <w:spacing w:after="20"/>
            </w:pPr>
            <w:r/>
            <w:r>
              <w:rPr>
                <w:rFonts w:ascii="Calibri" w:hAnsi="Calibri"/>
                <w:b w:val="0"/>
                <w:color w:val="243746"/>
                <w:sz w:val="16"/>
              </w:rPr>
              <w:t>Within the requested 30–35-hour range.</w:t>
            </w:r>
          </w:p>
        </w:tc>
      </w:tr>
    </w:tbl>
    <w:p>
      <w:pPr>
        <w:spacing w:after="20"/>
      </w:pPr>
    </w:p>
    <w:p>
      <w:pPr>
        <w:spacing w:after="100"/>
      </w:pPr>
      <w:r>
        <w:t>Suggested checkpoints: after source review (confirm the source is fit/licensed); after baseline profiling (approve handling rules); after cleaning (review quarantine and outlier decisions); before release (re-run tests and row reconciliation). If the data volume, source terms or language complexity is higher than expected, re-estimate effort instead of skipping provenance or validation.</w:t>
      </w:r>
    </w:p>
    <w:p>
      <w:pPr>
        <w:pStyle w:val="Heading1"/>
        <w:keepNext/>
      </w:pPr>
      <w:r>
        <w:t>13. Limitations, risks and conclusion</w:t>
      </w:r>
    </w:p>
    <w:p>
      <w:pPr>
        <w:spacing w:after="100"/>
      </w:pPr>
      <w:r>
        <w:t>A public catalog is a convenience sample, often with uneven community contribution and incomplete metadata. It may not represent products sold in a market, actual prices paid, consumer use, or current formulations. Missingness may be systematic: for example, an ingredient field may be more complete for one contributor group or category. Normalization can also erase meaningful distinctions if aliases are applied too broadly.</w:t>
      </w:r>
    </w:p>
    <w:p>
      <w:pPr>
        <w:spacing w:after="100"/>
      </w:pPr>
      <w:r>
        <w:t>The synthetic worked example demonstrates calculations and decisions but does not substitute for EDA on the actual project dataset. Before reporting real prevalence, category differences or model accuracy, execute the workflow against an archived, legally usable snapshot and report the measured denominator, uncertainty, limitations and code version.</w:t>
      </w:r>
    </w:p>
    <w:p>
      <w:pPr>
        <w:spacing w:after="100"/>
      </w:pPr>
      <w:r>
        <w:t>The central design principle is to separate observation from interpretation: preserve what the source said, create explicit normalized fields, record uncertainty and make every exclusion auditable. With those safeguards, cleaned data can support more consistent exploratory analysis and model development without implying more certainty than the source warrants.</w:t>
      </w:r>
    </w:p>
    <w:p>
      <w:pPr>
        <w:pStyle w:val="Heading1"/>
        <w:keepNext/>
      </w:pPr>
      <w:r>
        <w:t>Appendix A. Pre-release quality checklist</w:t>
      </w:r>
    </w:p>
    <w:p>
      <w:pPr>
        <w:spacing w:after="40"/>
      </w:pPr>
      <w:r>
        <w:t>☐  Source and reuse license confirmed; attribution and redistribution requirements recorded.</w:t>
      </w:r>
    </w:p>
    <w:p>
      <w:pPr>
        <w:spacing w:after="40"/>
      </w:pPr>
      <w:r>
        <w:t>☐  Raw snapshot immutable, dated, checksummed and linked to extraction query/code.</w:t>
      </w:r>
    </w:p>
    <w:p>
      <w:pPr>
        <w:spacing w:after="40"/>
      </w:pPr>
      <w:r>
        <w:t>☐  Unit of analysis, market, timeframe and inclusion criteria documented.</w:t>
      </w:r>
    </w:p>
    <w:p>
      <w:pPr>
        <w:spacing w:after="40"/>
      </w:pPr>
      <w:r>
        <w:t>☐  Raw columns and canonical fields are both preserved where normalization could lose meaning.</w:t>
      </w:r>
    </w:p>
    <w:p>
      <w:pPr>
        <w:spacing w:after="40"/>
      </w:pPr>
      <w:r>
        <w:t>☐  IDs are strings; leading zeros and product variants are not accidentally collapsed.</w:t>
      </w:r>
    </w:p>
    <w:p>
      <w:pPr>
        <w:spacing w:after="40"/>
      </w:pPr>
      <w:r>
        <w:t>☐  Null, invalid, not-applicable and zero values are distinguished.</w:t>
      </w:r>
    </w:p>
    <w:p>
      <w:pPr>
        <w:spacing w:after="40"/>
      </w:pPr>
      <w:r>
        <w:t>☐  Category, unit, currency, rating-scale and locale mappings are explicit and versioned.</w:t>
      </w:r>
    </w:p>
    <w:p>
      <w:pPr>
        <w:spacing w:after="40"/>
      </w:pPr>
      <w:r>
        <w:t>☐  Outliers are investigated/flagged; no automatic deletion based only on a boxplot or z-score.</w:t>
      </w:r>
    </w:p>
    <w:p>
      <w:pPr>
        <w:spacing w:after="40"/>
      </w:pPr>
      <w:r>
        <w:t>☐  Quarantine and duplicate counts reconcile with input rows; reasons are reviewable.</w:t>
      </w:r>
    </w:p>
    <w:p>
      <w:pPr>
        <w:spacing w:after="40"/>
      </w:pPr>
      <w:r>
        <w:t>☐  Missingness, distributions and visualizations report denominators and units.</w:t>
      </w:r>
    </w:p>
    <w:p>
      <w:pPr>
        <w:spacing w:after="40"/>
      </w:pPr>
      <w:r>
        <w:t>☐  Model preprocessing is fitted within training folds; test set is untouched until final evaluation.</w:t>
      </w:r>
    </w:p>
    <w:p>
      <w:pPr>
        <w:spacing w:after="40"/>
      </w:pPr>
      <w:r>
        <w:t>☐  Tests cover edge cases; same source/config/code reproduces results.</w:t>
      </w:r>
    </w:p>
    <w:p>
      <w:pPr>
        <w:spacing w:after="40"/>
      </w:pPr>
      <w:r>
        <w:t>☐  Report distinguishes measured evidence from synthetic or illustrative examples.</w:t>
      </w:r>
    </w:p>
    <w:p>
      <w:pPr>
        <w:pStyle w:val="Heading1"/>
        <w:keepNext/>
      </w:pPr>
      <w:r>
        <w:t>Appendix B. Sources and further reading</w:t>
      </w:r>
    </w:p>
    <w:p>
      <w:pPr>
        <w:spacing w:after="100"/>
      </w:pPr>
      <w:r>
        <w:t>Source pages below are starting points for source verification, not a claim that a dataset was downloaded for this report. Confirm current terms, API behavior, field definitions and license at the time of use.</w:t>
      </w:r>
    </w:p>
    <w:tbl>
      <w:tblPr>
        <w:tblStyle w:val="TableGrid"/>
        <w:tblW w:type="auto" w:w="0"/>
        <w:jc w:val="center"/>
        <w:tblLayout w:type="autofit"/>
        <w:tblLook w:firstColumn="1" w:firstRow="1" w:lastColumn="0" w:lastRow="0" w:noHBand="0" w:noVBand="1" w:val="04A0"/>
      </w:tblPr>
      <w:tblGrid>
        <w:gridCol w:w="5040"/>
        <w:gridCol w:w="5040"/>
      </w:tblGrid>
      <w:tr>
        <w:tc>
          <w:tcPr>
            <w:tcW w:type="dxa" w:w="4320"/>
            <w:vAlign w:val="center"/>
            <w:shd w:fill="17365D"/>
          </w:tcPr>
          <w:p>
            <w:pPr>
              <w:spacing w:after="20"/>
            </w:pPr>
            <w:r/>
            <w:r>
              <w:rPr>
                <w:rFonts w:ascii="Calibri" w:hAnsi="Calibri"/>
                <w:b/>
                <w:color w:val="FFFFFF"/>
                <w:sz w:val="16"/>
              </w:rPr>
              <w:t>RESOURCE</w:t>
            </w:r>
          </w:p>
        </w:tc>
        <w:tc>
          <w:tcPr>
            <w:tcW w:type="dxa" w:w="6048"/>
            <w:vAlign w:val="center"/>
            <w:shd w:fill="17365D"/>
          </w:tcPr>
          <w:p>
            <w:pPr>
              <w:spacing w:after="20"/>
            </w:pPr>
            <w:r/>
            <w:r>
              <w:rPr>
                <w:rFonts w:ascii="Calibri" w:hAnsi="Calibri"/>
                <w:b/>
                <w:color w:val="FFFFFF"/>
                <w:sz w:val="16"/>
              </w:rPr>
              <w:t>USE IN THIS PROJECT</w:t>
            </w:r>
          </w:p>
        </w:tc>
      </w:tr>
      <w:tr>
        <w:tc>
          <w:tcPr>
            <w:tcW w:type="dxa" w:w="4320"/>
            <w:vAlign w:val="center"/>
          </w:tcPr>
          <w:p>
            <w:pPr>
              <w:spacing w:after="20"/>
            </w:pPr>
            <w:r/>
            <w:r>
              <w:rPr>
                <w:rFonts w:ascii="Calibri" w:hAnsi="Calibri"/>
                <w:b w:val="0"/>
                <w:color w:val="243746"/>
                <w:sz w:val="16"/>
              </w:rPr>
              <w:t>Open Beauty Facts, official project: https://world.openbeautyfacts.org/</w:t>
            </w:r>
          </w:p>
        </w:tc>
        <w:tc>
          <w:tcPr>
            <w:tcW w:type="dxa" w:w="6048"/>
            <w:vAlign w:val="center"/>
          </w:tcPr>
          <w:p>
            <w:pPr>
              <w:spacing w:after="20"/>
            </w:pPr>
            <w:r/>
            <w:r>
              <w:rPr>
                <w:rFonts w:ascii="Calibri" w:hAnsi="Calibri"/>
                <w:b w:val="0"/>
                <w:color w:val="243746"/>
                <w:sz w:val="16"/>
              </w:rPr>
              <w:t>Candidate product catalog; inspect current coverage, field definitions and reuse information.</w:t>
            </w:r>
          </w:p>
        </w:tc>
      </w:tr>
      <w:tr>
        <w:tc>
          <w:tcPr>
            <w:tcW w:type="dxa" w:w="4320"/>
            <w:vAlign w:val="center"/>
            <w:shd w:fill="F3F6F8"/>
          </w:tcPr>
          <w:p>
            <w:pPr>
              <w:spacing w:after="20"/>
            </w:pPr>
            <w:r/>
            <w:r>
              <w:rPr>
                <w:rFonts w:ascii="Calibri" w:hAnsi="Calibri"/>
                <w:b w:val="0"/>
                <w:color w:val="243746"/>
                <w:sz w:val="16"/>
              </w:rPr>
              <w:t>Open Beauty Facts data page: https://world.openbeautyfacts.org/data</w:t>
            </w:r>
          </w:p>
        </w:tc>
        <w:tc>
          <w:tcPr>
            <w:tcW w:type="dxa" w:w="6048"/>
            <w:vAlign w:val="center"/>
            <w:shd w:fill="F3F6F8"/>
          </w:tcPr>
          <w:p>
            <w:pPr>
              <w:spacing w:after="20"/>
            </w:pPr>
            <w:r/>
            <w:r>
              <w:rPr>
                <w:rFonts w:ascii="Calibri" w:hAnsi="Calibri"/>
                <w:b w:val="0"/>
                <w:color w:val="243746"/>
                <w:sz w:val="16"/>
              </w:rPr>
              <w:t>Starting point for official data exports and data-access information; verify current page/terms.</w:t>
            </w:r>
          </w:p>
        </w:tc>
      </w:tr>
      <w:tr>
        <w:tc>
          <w:tcPr>
            <w:tcW w:type="dxa" w:w="4320"/>
            <w:vAlign w:val="center"/>
          </w:tcPr>
          <w:p>
            <w:pPr>
              <w:spacing w:after="20"/>
            </w:pPr>
            <w:r/>
            <w:r>
              <w:rPr>
                <w:rFonts w:ascii="Calibri" w:hAnsi="Calibri"/>
                <w:b w:val="0"/>
                <w:color w:val="243746"/>
                <w:sz w:val="16"/>
              </w:rPr>
              <w:t>pandas documentation: https://pandas.pydata.org/docs/</w:t>
            </w:r>
          </w:p>
        </w:tc>
        <w:tc>
          <w:tcPr>
            <w:tcW w:type="dxa" w:w="6048"/>
            <w:vAlign w:val="center"/>
          </w:tcPr>
          <w:p>
            <w:pPr>
              <w:spacing w:after="20"/>
            </w:pPr>
            <w:r/>
            <w:r>
              <w:rPr>
                <w:rFonts w:ascii="Calibri" w:hAnsi="Calibri"/>
                <w:b w:val="0"/>
                <w:color w:val="243746"/>
                <w:sz w:val="16"/>
              </w:rPr>
              <w:t>CSV I/O, missingness, data types, grouping, joins and validation.</w:t>
            </w:r>
          </w:p>
        </w:tc>
      </w:tr>
      <w:tr>
        <w:tc>
          <w:tcPr>
            <w:tcW w:type="dxa" w:w="4320"/>
            <w:vAlign w:val="center"/>
            <w:shd w:fill="F3F6F8"/>
          </w:tcPr>
          <w:p>
            <w:pPr>
              <w:spacing w:after="20"/>
            </w:pPr>
            <w:r/>
            <w:r>
              <w:rPr>
                <w:rFonts w:ascii="Calibri" w:hAnsi="Calibri"/>
                <w:b w:val="0"/>
                <w:color w:val="243746"/>
                <w:sz w:val="16"/>
              </w:rPr>
              <w:t>NumPy documentation: https://numpy.org/doc/</w:t>
            </w:r>
          </w:p>
        </w:tc>
        <w:tc>
          <w:tcPr>
            <w:tcW w:type="dxa" w:w="6048"/>
            <w:vAlign w:val="center"/>
            <w:shd w:fill="F3F6F8"/>
          </w:tcPr>
          <w:p>
            <w:pPr>
              <w:spacing w:after="20"/>
            </w:pPr>
            <w:r/>
            <w:r>
              <w:rPr>
                <w:rFonts w:ascii="Calibri" w:hAnsi="Calibri"/>
                <w:b w:val="0"/>
                <w:color w:val="243746"/>
                <w:sz w:val="16"/>
              </w:rPr>
              <w:t>Vectorized calculations and numerical missing values.</w:t>
            </w:r>
          </w:p>
        </w:tc>
      </w:tr>
      <w:tr>
        <w:tc>
          <w:tcPr>
            <w:tcW w:type="dxa" w:w="4320"/>
            <w:vAlign w:val="center"/>
          </w:tcPr>
          <w:p>
            <w:pPr>
              <w:spacing w:after="20"/>
            </w:pPr>
            <w:r/>
            <w:r>
              <w:rPr>
                <w:rFonts w:ascii="Calibri" w:hAnsi="Calibri"/>
                <w:b w:val="0"/>
                <w:color w:val="243746"/>
                <w:sz w:val="16"/>
              </w:rPr>
              <w:t>scikit-learn preprocessing guide: https://scikit-learn.org/stable/modules/preprocessing.html</w:t>
            </w:r>
          </w:p>
        </w:tc>
        <w:tc>
          <w:tcPr>
            <w:tcW w:type="dxa" w:w="6048"/>
            <w:vAlign w:val="center"/>
          </w:tcPr>
          <w:p>
            <w:pPr>
              <w:spacing w:after="20"/>
            </w:pPr>
            <w:r/>
            <w:r>
              <w:rPr>
                <w:rFonts w:ascii="Calibri" w:hAnsi="Calibri"/>
                <w:b w:val="0"/>
                <w:color w:val="243746"/>
                <w:sz w:val="16"/>
              </w:rPr>
              <w:t>Train/test-safe imputation, scaling, encoding and pipelines.</w:t>
            </w:r>
          </w:p>
        </w:tc>
      </w:tr>
      <w:tr>
        <w:tc>
          <w:tcPr>
            <w:tcW w:type="dxa" w:w="4320"/>
            <w:vAlign w:val="center"/>
            <w:shd w:fill="F3F6F8"/>
          </w:tcPr>
          <w:p>
            <w:pPr>
              <w:spacing w:after="20"/>
            </w:pPr>
            <w:r/>
            <w:r>
              <w:rPr>
                <w:rFonts w:ascii="Calibri" w:hAnsi="Calibri"/>
                <w:b w:val="0"/>
                <w:color w:val="243746"/>
                <w:sz w:val="16"/>
              </w:rPr>
              <w:t>scikit-learn common pitfalls: https://scikit-learn.org/stable/common_pitfalls.html</w:t>
            </w:r>
          </w:p>
        </w:tc>
        <w:tc>
          <w:tcPr>
            <w:tcW w:type="dxa" w:w="6048"/>
            <w:vAlign w:val="center"/>
            <w:shd w:fill="F3F6F8"/>
          </w:tcPr>
          <w:p>
            <w:pPr>
              <w:spacing w:after="20"/>
            </w:pPr>
            <w:r/>
            <w:r>
              <w:rPr>
                <w:rFonts w:ascii="Calibri" w:hAnsi="Calibri"/>
                <w:b w:val="0"/>
                <w:color w:val="243746"/>
                <w:sz w:val="16"/>
              </w:rPr>
              <w:t>Avoid data leakage during model evaluation and preprocessing.</w:t>
            </w:r>
          </w:p>
        </w:tc>
      </w:tr>
      <w:tr>
        <w:tc>
          <w:tcPr>
            <w:tcW w:type="dxa" w:w="4320"/>
            <w:vAlign w:val="center"/>
          </w:tcPr>
          <w:p>
            <w:pPr>
              <w:spacing w:after="20"/>
            </w:pPr>
            <w:r/>
            <w:r>
              <w:rPr>
                <w:rFonts w:ascii="Calibri" w:hAnsi="Calibri"/>
                <w:b w:val="0"/>
                <w:color w:val="243746"/>
                <w:sz w:val="16"/>
              </w:rPr>
              <w:t>Python hashlib documentation: https://docs.python.org/3/library/hashlib.html</w:t>
            </w:r>
          </w:p>
        </w:tc>
        <w:tc>
          <w:tcPr>
            <w:tcW w:type="dxa" w:w="6048"/>
            <w:vAlign w:val="center"/>
          </w:tcPr>
          <w:p>
            <w:pPr>
              <w:spacing w:after="20"/>
            </w:pPr>
            <w:r/>
            <w:r>
              <w:rPr>
                <w:rFonts w:ascii="Calibri" w:hAnsi="Calibri"/>
                <w:b w:val="0"/>
                <w:color w:val="243746"/>
                <w:sz w:val="16"/>
              </w:rPr>
              <w:t>Calculate file checksums for snapshot integrity.</w:t>
            </w:r>
          </w:p>
        </w:tc>
      </w:tr>
    </w:tbl>
    <w:p>
      <w:pPr>
        <w:spacing w:after="2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cleaning &amp; preprocessing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68C8C"/>
      </w:rPr>
      <w:t>WEEK 3  |  BEAUTY &amp; WELLNESS DATA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68C8C"/>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Beauty &amp; Wellness Data Cleaning and Preprocessing Pipeline</dc:title>
  <dc:subject>Reproducible data sourcing, quality assessment, cleaning and preprocessing</dc:subject>
  <dc:creator> </dc:creator>
  <cp:keywords>beauty, wellness, data cleaning, preprocessing, pandas,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