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Subtitle"/>
      </w:pPr>
      <w:r>
        <w:t xml:space="preserve">WEEK 2 | DATA SCIENCE PROJECT</w:t>
      </w:r>
    </w:p>
    <w:p>
      <w:pPr>
        <w:pStyle w:val="Title"/>
      </w:pPr>
      <w:r>
        <w:t xml:space="preserve">Data Sourcing Strategy &amp; Initial Analysis Plan</w:t>
      </w:r>
    </w:p>
    <w:p>
      <w:pPr>
        <w:pStyle w:val="Subtitle"/>
      </w:pPr>
      <w:r>
        <w:t xml:space="preserve">Business focus: monthly skincare demand in India</w:t>
      </w:r>
    </w:p>
    <w:p>
      <w:pPr>
        <w:pStyle w:val="Normal"/>
      </w:pPr>
      <w:r>
        <w:t xml:space="preserve">Prepared as a practical sourcing, data-quality, and exploratory-analysis plan. Public sources listed here are candidate sources; confirm current terms, availability, and exact series definitions before collection.</w:t>
      </w:r>
    </w:p>
    <w:p>
      <w:pPr>
        <w:pStyle w:val="Heading1"/>
      </w:pPr>
      <w:r>
        <w:t xml:space="preserve">1. Executive summary</w:t>
      </w:r>
    </w:p>
    <w:p>
      <w:pPr>
        <w:pStyle w:val="Normal"/>
      </w:pPr>
      <w:r>
        <w:t xml:space="preserve">Business problem: build a defensible monthly demand baseline and short-horizon forecast for skincare in India, then test whether public indicators improve that forecast beyond a simple historical-sales baseline.</w:t>
      </w:r>
    </w:p>
    <w:p>
      <w:pPr>
        <w:pStyle w:val="Normal"/>
      </w:pPr>
      <w:r>
        <w:t xml:space="preserve">The target must be observed sell-through (units or orders per month) from an authorized point-of-sale, commerce, or distributor extract. Public interest, reviews, advertising, prices, and macroeconomic series are supporting signals, not ground truth for product sales. The major feasibility risk is that no general public source guarantees representative, monthly India skincare sales.</w:t>
      </w:r>
    </w:p>
    <w:p>
      <w:pPr>
        <w:pStyle w:val="Normal"/>
      </w:pPr>
      <w:r>
        <w:t xml:space="preserve">No transaction CSV was supplied. This report is the sourcing and analysis plan; the application will add data-quality results and forecast metrics when a valid CSV is analyzed.</w:t>
      </w:r>
    </w:p>
    <w:p>
      <w:pPr>
        <w:pStyle w:val="Heading1"/>
      </w:pPr>
      <w:r>
        <w:t xml:space="preserve">2. Business question, scope, and decision</w:t>
      </w:r>
    </w:p>
    <w:p>
      <w:pPr>
        <w:pStyle w:val="Normal"/>
      </w:pPr>
      <w:r>
        <w:t xml:space="preserve">Research question: How accurately can monthly skincare demand in India be forecast from historical sales, and do search interest, price/promotion context, or other public indicators provide measurable incremental value?</w:t>
      </w:r>
    </w:p>
    <w:tbl>
      <w:tblPr>
        <w:tblStyle w:val="TableGrid"/>
        <w:tblW w:w="0" w:type="auto"/>
      </w:tblPr>
      <w:tblGrid>
        <w:gridCol w:w="1800"/>
        <w:gridCol w:w="1800"/>
      </w:tblGrid>
      <w:tr>
        <w:tc>
          <w:tcPr>
            <w:tcW w:w="1800" w:type="dxa"/>
            <w:shd w:fill="17365D"/>
          </w:tcPr>
          <w:p>
            <w:pPr>
              <w:spacing w:after="40"/>
            </w:pPr>
            <w:r>
              <w:rPr>
                <w:b/>
                <w:color w:val="FFFFFF"/>
                <w:sz w:val="16"/>
              </w:rPr>
              <w:t xml:space="preserve">Design element</w:t>
            </w:r>
          </w:p>
        </w:tc>
        <w:tc>
          <w:tcPr>
            <w:tcW w:w="1800" w:type="dxa"/>
            <w:shd w:fill="17365D"/>
          </w:tcPr>
          <w:p>
            <w:pPr>
              <w:spacing w:after="40"/>
            </w:pPr>
            <w:r>
              <w:rPr>
                <w:b/>
                <w:color w:val="FFFFFF"/>
                <w:sz w:val="16"/>
              </w:rPr>
              <w:t xml:space="preserve">Definition for this project</w:t>
            </w:r>
          </w:p>
        </w:tc>
      </w:tr>
      <w:tr>
        <w:tc>
          <w:tcPr>
            <w:tcW w:w="1800" w:type="dxa"/>
          </w:tcPr>
          <w:p>
            <w:pPr>
              <w:spacing w:after="40"/>
            </w:pPr>
            <w:r>
              <w:rPr>
                <w:sz w:val="16"/>
              </w:rPr>
              <w:t xml:space="preserve">Target</w:t>
            </w:r>
          </w:p>
        </w:tc>
        <w:tc>
          <w:tcPr>
            <w:tcW w:w="1800" w:type="dxa"/>
          </w:tcPr>
          <w:p>
            <w:pPr>
              <w:spacing w:after="40"/>
            </w:pPr>
            <w:r>
              <w:rPr>
                <w:sz w:val="16"/>
              </w:rPr>
              <w:t xml:space="preserve">Monthly units sold or orders; choose one definition and keep it consistent.</w:t>
            </w:r>
          </w:p>
        </w:tc>
      </w:tr>
      <w:tr>
        <w:tc>
          <w:tcPr>
            <w:tcW w:w="1800" w:type="dxa"/>
            <w:shd w:fill="F2F6FA"/>
          </w:tcPr>
          <w:p>
            <w:pPr>
              <w:spacing w:after="40"/>
            </w:pPr>
            <w:r>
              <w:rPr>
                <w:sz w:val="16"/>
              </w:rPr>
              <w:t xml:space="preserve">Unit of analysis</w:t>
            </w:r>
          </w:p>
        </w:tc>
        <w:tc>
          <w:tcPr>
            <w:tcW w:w="1800" w:type="dxa"/>
            <w:shd w:fill="F2F6FA"/>
          </w:tcPr>
          <w:p>
            <w:pPr>
              <w:spacing w:after="40"/>
            </w:pPr>
            <w:r>
              <w:rPr>
                <w:sz w:val="16"/>
              </w:rPr>
              <w:t xml:space="preserve">One category/product, geography, and calendar month.</w:t>
            </w:r>
          </w:p>
        </w:tc>
      </w:tr>
      <w:tr>
        <w:tc>
          <w:tcPr>
            <w:tcW w:w="1800" w:type="dxa"/>
          </w:tcPr>
          <w:p>
            <w:pPr>
              <w:spacing w:after="40"/>
            </w:pPr>
            <w:r>
              <w:rPr>
                <w:sz w:val="16"/>
              </w:rPr>
              <w:t xml:space="preserve">Geography / category</w:t>
            </w:r>
          </w:p>
        </w:tc>
        <w:tc>
          <w:tcPr>
            <w:tcW w:w="1800" w:type="dxa"/>
          </w:tcPr>
          <w:p>
            <w:pPr>
              <w:spacing w:after="40"/>
            </w:pPr>
            <w:r>
              <w:rPr>
                <w:sz w:val="16"/>
              </w:rPr>
              <w:t xml:space="preserve">India / skincare; narrow to channel or region if data allows.</w:t>
            </w:r>
          </w:p>
        </w:tc>
      </w:tr>
      <w:tr>
        <w:tc>
          <w:tcPr>
            <w:tcW w:w="1800" w:type="dxa"/>
            <w:shd w:fill="F2F6FA"/>
          </w:tcPr>
          <w:p>
            <w:pPr>
              <w:spacing w:after="40"/>
            </w:pPr>
            <w:r>
              <w:rPr>
                <w:sz w:val="16"/>
              </w:rPr>
              <w:t xml:space="preserve">Forecast horizon</w:t>
            </w:r>
          </w:p>
        </w:tc>
        <w:tc>
          <w:tcPr>
            <w:tcW w:w="1800" w:type="dxa"/>
            <w:shd w:fill="F2F6FA"/>
          </w:tcPr>
          <w:p>
            <w:pPr>
              <w:spacing w:after="40"/>
            </w:pPr>
            <w:r>
              <w:rPr>
                <w:sz w:val="16"/>
              </w:rPr>
              <w:t xml:space="preserve">3 month(s), configurable in the application.</w:t>
            </w:r>
          </w:p>
        </w:tc>
      </w:tr>
      <w:tr>
        <w:tc>
          <w:tcPr>
            <w:tcW w:w="1800" w:type="dxa"/>
          </w:tcPr>
          <w:p>
            <w:pPr>
              <w:spacing w:after="40"/>
            </w:pPr>
            <w:r>
              <w:rPr>
                <w:sz w:val="16"/>
              </w:rPr>
              <w:t xml:space="preserve">Primary use</w:t>
            </w:r>
          </w:p>
        </w:tc>
        <w:tc>
          <w:tcPr>
            <w:tcW w:w="1800" w:type="dxa"/>
          </w:tcPr>
          <w:p>
            <w:pPr>
              <w:spacing w:after="40"/>
            </w:pPr>
            <w:r>
              <w:rPr>
                <w:sz w:val="16"/>
              </w:rPr>
              <w:t xml:space="preserve">Inventory and campaign planning; forecast is decision support, not a guarantee.</w:t>
            </w:r>
          </w:p>
        </w:tc>
      </w:tr>
      <w:tr>
        <w:tc>
          <w:tcPr>
            <w:tcW w:w="1800" w:type="dxa"/>
            <w:shd w:fill="F2F6FA"/>
          </w:tcPr>
          <w:p>
            <w:pPr>
              <w:spacing w:after="40"/>
            </w:pPr>
            <w:r>
              <w:rPr>
                <w:sz w:val="16"/>
              </w:rPr>
              <w:t xml:space="preserve">Known constraint</w:t>
            </w:r>
          </w:p>
        </w:tc>
        <w:tc>
          <w:tcPr>
            <w:tcW w:w="1800" w:type="dxa"/>
            <w:shd w:fill="F2F6FA"/>
          </w:tcPr>
          <w:p>
            <w:pPr>
              <w:spacing w:after="40"/>
            </w:pPr>
            <w:r>
              <w:rPr>
                <w:sz w:val="16"/>
              </w:rPr>
              <w:t xml:space="preserve">Public indicators do not replace representative sell-through history.</w:t>
            </w:r>
          </w:p>
        </w:tc>
      </w:tr>
    </w:tbl>
    <w:p>
      <w:pPr>
        <w:pStyle w:val="Heading1"/>
      </w:pPr>
      <w:r>
        <w:t xml:space="preserve">3. Candidate data sources and assessment</w:t>
      </w:r>
    </w:p>
    <w:p>
      <w:pPr>
        <w:pStyle w:val="Normal"/>
      </w:pPr>
      <w:r>
        <w:t xml:space="preserve">Use the first source below as the target series when access is authorized. Acquire only the fields and date range needed. Confirm license, terms, geographic/category definitions, reporting dates, update cadence, and revision policy at collection time.</w:t>
      </w:r>
    </w:p>
    <w:p>
      <w:pPr>
        <w:pStyle w:val="Normal"/>
      </w:pPr>
      <w:r>
        <w:t xml:space="preserve">For uploaded CSVs, filter to the selected category/geography first or include optional category and region (or country) columns that exactly match the app settings. Valid demand rows are summed within each calendar month; optional search, promotion, and price fields are averaged. Review transaction IDs for duplicates before upload because the app cannot deduplicate records.</w:t>
      </w:r>
    </w:p>
    <w:tbl>
      <w:tblPr>
        <w:tblStyle w:val="TableGrid"/>
        <w:tblW w:w="0" w:type="auto"/>
      </w:tblPr>
      <w:tblGrid>
        <w:gridCol w:w="1800"/>
        <w:gridCol w:w="1800"/>
        <w:gridCol w:w="1800"/>
        <w:gridCol w:w="1800"/>
        <w:gridCol w:w="1800"/>
      </w:tblGrid>
      <w:tr>
        <w:tc>
          <w:tcPr>
            <w:tcW w:w="1800" w:type="dxa"/>
            <w:shd w:fill="17365D"/>
          </w:tcPr>
          <w:p>
            <w:pPr>
              <w:spacing w:after="40"/>
            </w:pPr>
            <w:r>
              <w:rPr>
                <w:b/>
                <w:color w:val="FFFFFF"/>
                <w:sz w:val="16"/>
              </w:rPr>
              <w:t xml:space="preserve">Source</w:t>
            </w:r>
          </w:p>
        </w:tc>
        <w:tc>
          <w:tcPr>
            <w:tcW w:w="1800" w:type="dxa"/>
            <w:shd w:fill="17365D"/>
          </w:tcPr>
          <w:p>
            <w:pPr>
              <w:spacing w:after="40"/>
            </w:pPr>
            <w:r>
              <w:rPr>
                <w:b/>
                <w:color w:val="FFFFFF"/>
                <w:sz w:val="16"/>
              </w:rPr>
              <w:t xml:space="preserve">Potential fields / purpose</w:t>
            </w:r>
          </w:p>
        </w:tc>
        <w:tc>
          <w:tcPr>
            <w:tcW w:w="1800" w:type="dxa"/>
            <w:shd w:fill="17365D"/>
          </w:tcPr>
          <w:p>
            <w:pPr>
              <w:spacing w:after="40"/>
            </w:pPr>
            <w:r>
              <w:rPr>
                <w:b/>
                <w:color w:val="FFFFFF"/>
                <w:sz w:val="16"/>
              </w:rPr>
              <w:t xml:space="preserve">Access and frequency</w:t>
            </w:r>
          </w:p>
        </w:tc>
        <w:tc>
          <w:tcPr>
            <w:tcW w:w="1800" w:type="dxa"/>
            <w:shd w:fill="17365D"/>
          </w:tcPr>
          <w:p>
            <w:pPr>
              <w:spacing w:after="40"/>
            </w:pPr>
            <w:r>
              <w:rPr>
                <w:b/>
                <w:color w:val="FFFFFF"/>
                <w:sz w:val="16"/>
              </w:rPr>
              <w:t xml:space="preserve">Quality / reliability</w:t>
            </w:r>
          </w:p>
        </w:tc>
        <w:tc>
          <w:tcPr>
            <w:tcW w:w="1800" w:type="dxa"/>
            <w:shd w:fill="17365D"/>
          </w:tcPr>
          <w:p>
            <w:pPr>
              <w:spacing w:after="40"/>
            </w:pPr>
            <w:r>
              <w:rPr>
                <w:b/>
                <w:color w:val="FFFFFF"/>
                <w:sz w:val="16"/>
              </w:rPr>
              <w:t xml:space="preserve">Relevance / limitation</w:t>
            </w:r>
          </w:p>
        </w:tc>
      </w:tr>
      <w:tr>
        <w:tc>
          <w:tcPr>
            <w:tcW w:w="1800" w:type="dxa"/>
          </w:tcPr>
          <w:p>
            <w:pPr>
              <w:spacing w:after="40"/>
            </w:pPr>
            <w:r>
              <w:rPr>
                <w:sz w:val="16"/>
              </w:rPr>
              <w:t xml:space="preserve">Authorized commerce / POS export (primary; organization-provided)</w:t>
            </w:r>
          </w:p>
        </w:tc>
        <w:tc>
          <w:tcPr>
            <w:tcW w:w="1800" w:type="dxa"/>
          </w:tcPr>
          <w:p>
            <w:pPr>
              <w:spacing w:after="40"/>
            </w:pPr>
            <w:r>
              <w:rPr>
                <w:sz w:val="16"/>
              </w:rPr>
              <w:t xml:space="preserve">Units or orders, transaction date, SKU/category, region/channel; price, discount, promotion, stock availability where permitted.</w:t>
            </w:r>
          </w:p>
        </w:tc>
        <w:tc>
          <w:tcPr>
            <w:tcW w:w="1800" w:type="dxa"/>
          </w:tcPr>
          <w:p>
            <w:pPr>
              <w:spacing w:after="40"/>
            </w:pPr>
            <w:r>
              <w:rPr>
                <w:sz w:val="16"/>
              </w:rPr>
              <w:t xml:space="preserve">Private owner export; weekly or daily records can be rolled up monthly.</w:t>
            </w:r>
          </w:p>
        </w:tc>
        <w:tc>
          <w:tcPr>
            <w:tcW w:w="1800" w:type="dxa"/>
          </w:tcPr>
          <w:p>
            <w:pPr>
              <w:spacing w:after="40"/>
            </w:pPr>
            <w:r>
              <w:rPr>
                <w:sz w:val="16"/>
              </w:rPr>
              <w:t xml:space="preserve">High direct relevance if definitions, returns, stock-outs, and coverage are documented.</w:t>
            </w:r>
          </w:p>
        </w:tc>
        <w:tc>
          <w:tcPr>
            <w:tcW w:w="1800" w:type="dxa"/>
          </w:tcPr>
          <w:p>
            <w:pPr>
              <w:spacing w:after="40"/>
            </w:pPr>
            <w:r>
              <w:rPr>
                <w:sz w:val="16"/>
              </w:rPr>
              <w:t xml:space="preserve">Best target source; not public. Obtain permission and document coverage.</w:t>
            </w:r>
          </w:p>
        </w:tc>
      </w:tr>
      <w:tr>
        <w:tc>
          <w:tcPr>
            <w:tcW w:w="1800" w:type="dxa"/>
            <w:shd w:fill="F2F6FA"/>
          </w:tcPr>
          <w:p>
            <w:pPr>
              <w:spacing w:after="40"/>
            </w:pPr>
            <w:r>
              <w:rPr>
                <w:sz w:val="16"/>
              </w:rPr>
              <w:t xml:space="preserve">Google Trends (India)</w:t>
            </w:r>
          </w:p>
        </w:tc>
        <w:tc>
          <w:tcPr>
            <w:tcW w:w="1800" w:type="dxa"/>
            <w:shd w:fill="F2F6FA"/>
          </w:tcPr>
          <w:p>
            <w:pPr>
              <w:spacing w:after="40"/>
            </w:pPr>
            <w:r>
              <w:rPr>
                <w:sz w:val="16"/>
              </w:rPr>
              <w:t xml:space="preserve">Monthly relative search interest for agreed skincare terms; possible leading indicator.</w:t>
            </w:r>
          </w:p>
        </w:tc>
        <w:tc>
          <w:tcPr>
            <w:tcW w:w="1800" w:type="dxa"/>
            <w:shd w:fill="F2F6FA"/>
          </w:tcPr>
          <w:p>
            <w:pPr>
              <w:spacing w:after="40"/>
            </w:pPr>
            <w:r>
              <w:rPr>
                <w:sz w:val="16"/>
              </w:rPr>
              <w:t xml:space="preserve">Public web interface; export a consistent geography, category, query, and date range. Time window selectable; values are normalized 0-100, not search counts.</w:t>
            </w:r>
          </w:p>
        </w:tc>
        <w:tc>
          <w:tcPr>
            <w:tcW w:w="1800" w:type="dxa"/>
            <w:shd w:fill="F2F6FA"/>
          </w:tcPr>
          <w:p>
            <w:pPr>
              <w:spacing w:after="40"/>
            </w:pPr>
            <w:r>
              <w:rPr>
                <w:sz w:val="16"/>
              </w:rPr>
              <w:t xml:space="preserve">Useful for interest direction; sampling and normalization limit reproducibility and comparability.</w:t>
            </w:r>
          </w:p>
        </w:tc>
        <w:tc>
          <w:tcPr>
            <w:tcW w:w="1800" w:type="dxa"/>
            <w:shd w:fill="F2F6FA"/>
          </w:tcPr>
          <w:p>
            <w:pPr>
              <w:spacing w:after="40"/>
            </w:pPr>
            <w:r>
              <w:rPr>
                <w:sz w:val="16"/>
              </w:rPr>
              <w:t xml:space="preserve">Medium: demand proxy only; compare with actual monthly sales and test lags.</w:t>
            </w:r>
          </w:p>
        </w:tc>
      </w:tr>
      <w:tr>
        <w:tc>
          <w:tcPr>
            <w:tcW w:w="1800" w:type="dxa"/>
          </w:tcPr>
          <w:p>
            <w:pPr>
              <w:spacing w:after="40"/>
            </w:pPr>
            <w:r>
              <w:rPr>
                <w:sz w:val="16"/>
              </w:rPr>
              <w:t xml:space="preserve">Open Government Data Platform India</w:t>
            </w:r>
          </w:p>
        </w:tc>
        <w:tc>
          <w:tcPr>
            <w:tcW w:w="1800" w:type="dxa"/>
          </w:tcPr>
          <w:p>
            <w:pPr>
              <w:spacing w:after="40"/>
            </w:pPr>
            <w:r>
              <w:rPr>
                <w:sz w:val="16"/>
              </w:rPr>
              <w:t xml:space="preserve">Search for household consumption, retail, population, and relevant state/district context.</w:t>
            </w:r>
          </w:p>
        </w:tc>
        <w:tc>
          <w:tcPr>
            <w:tcW w:w="1800" w:type="dxa"/>
          </w:tcPr>
          <w:p>
            <w:pPr>
              <w:spacing w:after="40"/>
            </w:pPr>
            <w:r>
              <w:rPr>
                <w:sz w:val="16"/>
              </w:rPr>
              <w:t xml:space="preserve">Public catalog; individual datasets have their own download/API terms and may require an API key. Varies by publisher and dataset; verify each dataset's update date before use.</w:t>
            </w:r>
          </w:p>
        </w:tc>
        <w:tc>
          <w:tcPr>
            <w:tcW w:w="1800" w:type="dxa"/>
          </w:tcPr>
          <w:p>
            <w:pPr>
              <w:spacing w:after="40"/>
            </w:pPr>
            <w:r>
              <w:rPr>
                <w:sz w:val="16"/>
              </w:rPr>
              <w:t xml:space="preserve">Official provenance is a strength; category detail, missingness, and revisions vary by dataset.</w:t>
            </w:r>
          </w:p>
        </w:tc>
        <w:tc>
          <w:tcPr>
            <w:tcW w:w="1800" w:type="dxa"/>
          </w:tcPr>
          <w:p>
            <w:pPr>
              <w:spacing w:after="40"/>
            </w:pPr>
            <w:r>
              <w:rPr>
                <w:sz w:val="16"/>
              </w:rPr>
              <w:t xml:space="preserve">Low-to-medium: context and segmentation, not a reliable direct measure of skincare sell-through.</w:t>
            </w:r>
          </w:p>
        </w:tc>
      </w:tr>
      <w:tr>
        <w:tc>
          <w:tcPr>
            <w:tcW w:w="1800" w:type="dxa"/>
            <w:shd w:fill="F2F6FA"/>
          </w:tcPr>
          <w:p>
            <w:pPr>
              <w:spacing w:after="40"/>
            </w:pPr>
            <w:r>
              <w:rPr>
                <w:sz w:val="16"/>
              </w:rPr>
              <w:t xml:space="preserve">MoSPI eSankhyiki / CPI</w:t>
            </w:r>
          </w:p>
        </w:tc>
        <w:tc>
          <w:tcPr>
            <w:tcW w:w="1800" w:type="dxa"/>
            <w:shd w:fill="F2F6FA"/>
          </w:tcPr>
          <w:p>
            <w:pPr>
              <w:spacing w:after="40"/>
            </w:pPr>
            <w:r>
              <w:rPr>
                <w:sz w:val="16"/>
              </w:rPr>
              <w:t xml:space="preserve">Consumer price and inflation context; inspect available item, geography, and time coverage.</w:t>
            </w:r>
          </w:p>
        </w:tc>
        <w:tc>
          <w:tcPr>
            <w:tcW w:w="1800" w:type="dxa"/>
            <w:shd w:fill="F2F6FA"/>
          </w:tcPr>
          <w:p>
            <w:pPr>
              <w:spacing w:after="40"/>
            </w:pPr>
            <w:r>
              <w:rPr>
                <w:sz w:val="16"/>
              </w:rPr>
              <w:t xml:space="preserve">Official statistics portal; access and download formats vary by table. CPI is generally released monthly; confirm the selected series' actual cadence and revisions.</w:t>
            </w:r>
          </w:p>
        </w:tc>
        <w:tc>
          <w:tcPr>
            <w:tcW w:w="1800" w:type="dxa"/>
            <w:shd w:fill="F2F6FA"/>
          </w:tcPr>
          <w:p>
            <w:pPr>
              <w:spacing w:after="40"/>
            </w:pPr>
            <w:r>
              <w:rPr>
                <w:sz w:val="16"/>
              </w:rPr>
              <w:t xml:space="preserve">High authority for published CPI; CPI is not skincare unit sales and may be too broadly classified.</w:t>
            </w:r>
          </w:p>
        </w:tc>
        <w:tc>
          <w:tcPr>
            <w:tcW w:w="1800" w:type="dxa"/>
            <w:shd w:fill="F2F6FA"/>
          </w:tcPr>
          <w:p>
            <w:pPr>
              <w:spacing w:after="40"/>
            </w:pPr>
            <w:r>
              <w:rPr>
                <w:sz w:val="16"/>
              </w:rPr>
              <w:t xml:space="preserve">Medium as a price / macroeconomic control; low as the target-demand variable.</w:t>
            </w:r>
          </w:p>
        </w:tc>
      </w:tr>
      <w:tr>
        <w:tc>
          <w:tcPr>
            <w:tcW w:w="1800" w:type="dxa"/>
          </w:tcPr>
          <w:p>
            <w:pPr>
              <w:spacing w:after="40"/>
            </w:pPr>
            <w:r>
              <w:rPr>
                <w:sz w:val="16"/>
              </w:rPr>
              <w:t xml:space="preserve">UN Comtrade API</w:t>
            </w:r>
          </w:p>
        </w:tc>
        <w:tc>
          <w:tcPr>
            <w:tcW w:w="1800" w:type="dxa"/>
          </w:tcPr>
          <w:p>
            <w:pPr>
              <w:spacing w:after="40"/>
            </w:pPr>
            <w:r>
              <w:rPr>
                <w:sz w:val="16"/>
              </w:rPr>
              <w:t xml:space="preserve">India imports/exports for carefully checked cosmetics-related HS codes; trade context.</w:t>
            </w:r>
          </w:p>
        </w:tc>
        <w:tc>
          <w:tcPr>
            <w:tcW w:w="1800" w:type="dxa"/>
          </w:tcPr>
          <w:p>
            <w:pPr>
              <w:spacing w:after="40"/>
            </w:pPr>
            <w:r>
              <w:rPr>
                <w:sz w:val="16"/>
              </w:rPr>
              <w:t xml:space="preserve">Public API with request limits; registration/key and query limits can apply. Trade data is reported periodically; reporting lags and revisions are possible.</w:t>
            </w:r>
          </w:p>
        </w:tc>
        <w:tc>
          <w:tcPr>
            <w:tcW w:w="1800" w:type="dxa"/>
          </w:tcPr>
          <w:p>
            <w:pPr>
              <w:spacing w:after="40"/>
            </w:pPr>
            <w:r>
              <w:rPr>
                <w:sz w:val="16"/>
              </w:rPr>
              <w:t xml:space="preserve">Standardized official trade reporting; HS-code boundaries and re-exports need review.</w:t>
            </w:r>
          </w:p>
        </w:tc>
        <w:tc>
          <w:tcPr>
            <w:tcW w:w="1800" w:type="dxa"/>
          </w:tcPr>
          <w:p>
            <w:pPr>
              <w:spacing w:after="40"/>
            </w:pPr>
            <w:r>
              <w:rPr>
                <w:sz w:val="16"/>
              </w:rPr>
              <w:t xml:space="preserve">Low-to-medium: trade flows are not domestic retail demand or online sales.</w:t>
            </w:r>
          </w:p>
        </w:tc>
      </w:tr>
      <w:tr>
        <w:tc>
          <w:tcPr>
            <w:tcW w:w="1800" w:type="dxa"/>
            <w:shd w:fill="F2F6FA"/>
          </w:tcPr>
          <w:p>
            <w:pPr>
              <w:spacing w:after="40"/>
            </w:pPr>
            <w:r>
              <w:rPr>
                <w:sz w:val="16"/>
              </w:rPr>
              <w:t xml:space="preserve">World Bank Indicators API (India)</w:t>
            </w:r>
          </w:p>
        </w:tc>
        <w:tc>
          <w:tcPr>
            <w:tcW w:w="1800" w:type="dxa"/>
            <w:shd w:fill="F2F6FA"/>
          </w:tcPr>
          <w:p>
            <w:pPr>
              <w:spacing w:after="40"/>
            </w:pPr>
            <w:r>
              <w:rPr>
                <w:sz w:val="16"/>
              </w:rPr>
              <w:t xml:space="preserve">Annual macroeconomic context such as inflation; use only where the indicator is relevant.</w:t>
            </w:r>
          </w:p>
        </w:tc>
        <w:tc>
          <w:tcPr>
            <w:tcW w:w="1800" w:type="dxa"/>
            <w:shd w:fill="F2F6FA"/>
          </w:tcPr>
          <w:p>
            <w:pPr>
              <w:spacing w:after="40"/>
            </w:pPr>
            <w:r>
              <w:rPr>
                <w:sz w:val="16"/>
              </w:rPr>
              <w:t xml:space="preserve">Public API; query and reuse terms should be checked for the selected indicator. Usually annual for this example indicator; unsuitable for month-level prediction without care.</w:t>
            </w:r>
          </w:p>
        </w:tc>
        <w:tc>
          <w:tcPr>
            <w:tcW w:w="1800" w:type="dxa"/>
            <w:shd w:fill="F2F6FA"/>
          </w:tcPr>
          <w:p>
            <w:pPr>
              <w:spacing w:after="40"/>
            </w:pPr>
            <w:r>
              <w:rPr>
                <w:sz w:val="16"/>
              </w:rPr>
              <w:t xml:space="preserve">Well-documented, authoritative indicator; release lag and coarse frequency limit forecast value.</w:t>
            </w:r>
          </w:p>
        </w:tc>
        <w:tc>
          <w:tcPr>
            <w:tcW w:w="1800" w:type="dxa"/>
            <w:shd w:fill="F2F6FA"/>
          </w:tcPr>
          <w:p>
            <w:pPr>
              <w:spacing w:after="40"/>
            </w:pPr>
            <w:r>
              <w:rPr>
                <w:sz w:val="16"/>
              </w:rPr>
              <w:t xml:space="preserve">Low as a monthly predictor; useful for narrative context or yearly sensitivity checks.</w:t>
            </w:r>
          </w:p>
        </w:tc>
      </w:tr>
      <w:tr>
        <w:tc>
          <w:tcPr>
            <w:tcW w:w="1800" w:type="dxa"/>
          </w:tcPr>
          <w:p>
            <w:pPr>
              <w:spacing w:after="40"/>
            </w:pPr>
            <w:r>
              <w:rPr>
                <w:sz w:val="16"/>
              </w:rPr>
              <w:t xml:space="preserve">Amazon Reviews 2023 (UCSD)</w:t>
            </w:r>
          </w:p>
        </w:tc>
        <w:tc>
          <w:tcPr>
            <w:tcW w:w="1800" w:type="dxa"/>
          </w:tcPr>
          <w:p>
            <w:pPr>
              <w:spacing w:after="40"/>
            </w:pPr>
            <w:r>
              <w:rPr>
                <w:sz w:val="16"/>
              </w:rPr>
              <w:t xml:space="preserve">Public review text, ratings, timestamps, and product metadata for relevant beauty categories.</w:t>
            </w:r>
          </w:p>
        </w:tc>
        <w:tc>
          <w:tcPr>
            <w:tcW w:w="1800" w:type="dxa"/>
          </w:tcPr>
          <w:p>
            <w:pPr>
              <w:spacing w:after="40"/>
            </w:pPr>
            <w:r>
              <w:rPr>
                <w:sz w:val="16"/>
              </w:rPr>
              <w:t xml:space="preserve">Research dataset download; large files and applicable dataset / platform terms require review. Historical snapshot, not a continuously refreshed retail feed.</w:t>
            </w:r>
          </w:p>
        </w:tc>
        <w:tc>
          <w:tcPr>
            <w:tcW w:w="1800" w:type="dxa"/>
          </w:tcPr>
          <w:p>
            <w:pPr>
              <w:spacing w:after="40"/>
            </w:pPr>
            <w:r>
              <w:rPr>
                <w:sz w:val="16"/>
              </w:rPr>
              <w:t xml:space="preserve">Substantial historical review coverage; selection bias, category mapping, and rating bias remain.</w:t>
            </w:r>
          </w:p>
        </w:tc>
        <w:tc>
          <w:tcPr>
            <w:tcW w:w="1800" w:type="dxa"/>
          </w:tcPr>
          <w:p>
            <w:pPr>
              <w:spacing w:after="40"/>
            </w:pPr>
            <w:r>
              <w:rPr>
                <w:sz w:val="16"/>
              </w:rPr>
              <w:t xml:space="preserve">Low-to-medium: review volume or sentiment may be auxiliary signals, never substitute for sales.</w:t>
            </w:r>
          </w:p>
        </w:tc>
      </w:tr>
      <w:tr>
        <w:tc>
          <w:tcPr>
            <w:tcW w:w="1800" w:type="dxa"/>
            <w:shd w:fill="F2F6FA"/>
          </w:tcPr>
          <w:p>
            <w:pPr>
              <w:spacing w:after="40"/>
            </w:pPr>
            <w:r>
              <w:rPr>
                <w:sz w:val="16"/>
              </w:rPr>
              <w:t xml:space="preserve">Open Beauty Facts API</w:t>
            </w:r>
          </w:p>
        </w:tc>
        <w:tc>
          <w:tcPr>
            <w:tcW w:w="1800" w:type="dxa"/>
            <w:shd w:fill="F2F6FA"/>
          </w:tcPr>
          <w:p>
            <w:pPr>
              <w:spacing w:after="40"/>
            </w:pPr>
            <w:r>
              <w:rPr>
                <w:sz w:val="16"/>
              </w:rPr>
              <w:t xml:space="preserve">Product, ingredient, brand, and barcode metadata for catalog normalization.</w:t>
            </w:r>
          </w:p>
        </w:tc>
        <w:tc>
          <w:tcPr>
            <w:tcW w:w="1800" w:type="dxa"/>
            <w:shd w:fill="F2F6FA"/>
          </w:tcPr>
          <w:p>
            <w:pPr>
              <w:spacing w:after="40"/>
            </w:pPr>
            <w:r>
              <w:rPr>
                <w:sz w:val="16"/>
              </w:rPr>
              <w:t xml:space="preserve">Open collaborative database/API; check current API usage and database licensing terms. Community contributions; updates are continuous but product coverage is uneven.</w:t>
            </w:r>
          </w:p>
        </w:tc>
        <w:tc>
          <w:tcPr>
            <w:tcW w:w="1800" w:type="dxa"/>
            <w:shd w:fill="F2F6FA"/>
          </w:tcPr>
          <w:p>
            <w:pPr>
              <w:spacing w:after="40"/>
            </w:pPr>
            <w:r>
              <w:rPr>
                <w:sz w:val="16"/>
              </w:rPr>
              <w:t xml:space="preserve">Useful for product attributes; user-contributed fields can be incomplete or inconsistent.</w:t>
            </w:r>
          </w:p>
        </w:tc>
        <w:tc>
          <w:tcPr>
            <w:tcW w:w="1800" w:type="dxa"/>
            <w:shd w:fill="F2F6FA"/>
          </w:tcPr>
          <w:p>
            <w:pPr>
              <w:spacing w:after="40"/>
            </w:pPr>
            <w:r>
              <w:rPr>
                <w:sz w:val="16"/>
              </w:rPr>
              <w:t xml:space="preserve">Low for demand measurement; medium for enriching product-level records.</w:t>
            </w:r>
          </w:p>
        </w:tc>
      </w:tr>
      <w:tr>
        <w:tc>
          <w:tcPr>
            <w:tcW w:w="1800" w:type="dxa"/>
          </w:tcPr>
          <w:p>
            <w:pPr>
              <w:spacing w:after="40"/>
            </w:pPr>
            <w:r>
              <w:rPr>
                <w:sz w:val="16"/>
              </w:rPr>
              <w:t xml:space="preserve">Meta Ad Library</w:t>
            </w:r>
          </w:p>
        </w:tc>
        <w:tc>
          <w:tcPr>
            <w:tcW w:w="1800" w:type="dxa"/>
          </w:tcPr>
          <w:p>
            <w:pPr>
              <w:spacing w:after="40"/>
            </w:pPr>
            <w:r>
              <w:rPr>
                <w:sz w:val="16"/>
              </w:rPr>
              <w:t xml:space="preserve">Publicly viewable ad activity as optional campaign/creative context.</w:t>
            </w:r>
          </w:p>
        </w:tc>
        <w:tc>
          <w:tcPr>
            <w:tcW w:w="1800" w:type="dxa"/>
          </w:tcPr>
          <w:p>
            <w:pPr>
              <w:spacing w:after="40"/>
            </w:pPr>
            <w:r>
              <w:rPr>
                <w:sz w:val="16"/>
              </w:rPr>
              <w:t xml:space="preserve">Public search interface; programmatic access and available fields vary by region and eligibility. Ongoing ad records, subject to platform retention and access limits.</w:t>
            </w:r>
          </w:p>
        </w:tc>
        <w:tc>
          <w:tcPr>
            <w:tcW w:w="1800" w:type="dxa"/>
          </w:tcPr>
          <w:p>
            <w:pPr>
              <w:spacing w:after="40"/>
            </w:pPr>
            <w:r>
              <w:rPr>
                <w:sz w:val="16"/>
              </w:rPr>
              <w:t xml:space="preserve">First-party platform records, but not impressions, spend, conversion, or total market advertising.</w:t>
            </w:r>
          </w:p>
        </w:tc>
        <w:tc>
          <w:tcPr>
            <w:tcW w:w="1800" w:type="dxa"/>
          </w:tcPr>
          <w:p>
            <w:pPr>
              <w:spacing w:after="40"/>
            </w:pPr>
            <w:r>
              <w:rPr>
                <w:sz w:val="16"/>
              </w:rPr>
              <w:t xml:space="preserve">Low-to-medium contextual signal; do not treat ad counts as consumer demand.</w:t>
            </w:r>
          </w:p>
        </w:tc>
      </w:tr>
    </w:tbl>
    <w:p>
      <w:pPr>
        <w:pStyle w:val="Heading2"/>
      </w:pPr>
      <w:r>
        <w:t xml:space="preserve">Source links</w:t>
      </w:r>
    </w:p>
    <w:p>
      <w:pPr>
        <w:pStyle w:val="Normal"/>
      </w:pPr>
      <w:hyperlink r:id="rId1">
        <w:r>
          <w:rPr>
            <w:rStyle w:val="Hyperlink"/>
          </w:rPr>
          <w:t>Google Trends (India)</w:t>
        </w:r>
      </w:hyperlink>
    </w:p>
    <w:p>
      <w:pPr>
        <w:pStyle w:val="Normal"/>
      </w:pPr>
      <w:hyperlink r:id="rId2">
        <w:r>
          <w:rPr>
            <w:rStyle w:val="Hyperlink"/>
          </w:rPr>
          <w:t>Open Government Data Platform India</w:t>
        </w:r>
      </w:hyperlink>
    </w:p>
    <w:p>
      <w:pPr>
        <w:pStyle w:val="Normal"/>
      </w:pPr>
      <w:hyperlink r:id="rId3">
        <w:r>
          <w:rPr>
            <w:rStyle w:val="Hyperlink"/>
          </w:rPr>
          <w:t>MoSPI eSankhyiki / CPI</w:t>
        </w:r>
      </w:hyperlink>
    </w:p>
    <w:p>
      <w:pPr>
        <w:pStyle w:val="Normal"/>
      </w:pPr>
      <w:hyperlink r:id="rId4">
        <w:r>
          <w:rPr>
            <w:rStyle w:val="Hyperlink"/>
          </w:rPr>
          <w:t>UN Comtrade API</w:t>
        </w:r>
      </w:hyperlink>
    </w:p>
    <w:p>
      <w:pPr>
        <w:pStyle w:val="Normal"/>
      </w:pPr>
      <w:hyperlink r:id="rId5">
        <w:r>
          <w:rPr>
            <w:rStyle w:val="Hyperlink"/>
          </w:rPr>
          <w:t>World Bank Indicators API (India)</w:t>
        </w:r>
      </w:hyperlink>
    </w:p>
    <w:p>
      <w:pPr>
        <w:pStyle w:val="Normal"/>
      </w:pPr>
      <w:hyperlink r:id="rId6">
        <w:r>
          <w:rPr>
            <w:rStyle w:val="Hyperlink"/>
          </w:rPr>
          <w:t>Amazon Reviews 2023 (UCSD)</w:t>
        </w:r>
      </w:hyperlink>
    </w:p>
    <w:p>
      <w:pPr>
        <w:pStyle w:val="Normal"/>
      </w:pPr>
      <w:hyperlink r:id="rId7">
        <w:r>
          <w:rPr>
            <w:rStyle w:val="Hyperlink"/>
          </w:rPr>
          <w:t>Open Beauty Facts API</w:t>
        </w:r>
      </w:hyperlink>
    </w:p>
    <w:p>
      <w:pPr>
        <w:pStyle w:val="Normal"/>
      </w:pPr>
      <w:hyperlink r:id="rId8">
        <w:r>
          <w:rPr>
            <w:rStyle w:val="Hyperlink"/>
          </w:rPr>
          <w:t>Meta Ad Library</w:t>
        </w:r>
      </w:hyperlink>
    </w:p>
    <w:p>
      <w:pPr>
        <w:pStyle w:val="Heading1"/>
      </w:pPr>
      <w:r>
        <w:t xml:space="preserve">4. Data sourcing strategy and collection runbook</w:t>
      </w:r>
    </w:p>
    <w:p>
      <w:pPr>
        <w:pStyle w:val="Normal"/>
      </w:pPr>
      <w:r>
        <w:t xml:space="preserve">Use a tiered strategy: obtain the sales target first, then add a small number of aligned explanatory sources only if they can be legally and consistently collected. Public-source pages below are discovery starting points, not confirmation that a suitable dataset or field is currently available.</w:t>
      </w:r>
    </w:p>
    <w:tbl>
      <w:tblPr>
        <w:tblStyle w:val="TableGrid"/>
        <w:tblW w:w="0" w:type="auto"/>
      </w:tblPr>
      <w:tblGrid>
        <w:gridCol w:w="1800"/>
        <w:gridCol w:w="1800"/>
        <w:gridCol w:w="1800"/>
      </w:tblGrid>
      <w:tr>
        <w:tc>
          <w:tcPr>
            <w:tcW w:w="1800" w:type="dxa"/>
            <w:shd w:fill="17365D"/>
          </w:tcPr>
          <w:p>
            <w:pPr>
              <w:spacing w:after="40"/>
            </w:pPr>
            <w:r>
              <w:rPr>
                <w:b/>
                <w:color w:val="FFFFFF"/>
                <w:sz w:val="16"/>
              </w:rPr>
              <w:t xml:space="preserve">Priority / source</w:t>
            </w:r>
          </w:p>
        </w:tc>
        <w:tc>
          <w:tcPr>
            <w:tcW w:w="1800" w:type="dxa"/>
            <w:shd w:fill="17365D"/>
          </w:tcPr>
          <w:p>
            <w:pPr>
              <w:spacing w:after="40"/>
            </w:pPr>
            <w:r>
              <w:rPr>
                <w:b/>
                <w:color w:val="FFFFFF"/>
                <w:sz w:val="16"/>
              </w:rPr>
              <w:t xml:space="preserve">Collection example</w:t>
            </w:r>
          </w:p>
        </w:tc>
        <w:tc>
          <w:tcPr>
            <w:tcW w:w="1800" w:type="dxa"/>
            <w:shd w:fill="17365D"/>
          </w:tcPr>
          <w:p>
            <w:pPr>
              <w:spacing w:after="40"/>
            </w:pPr>
            <w:r>
              <w:rPr>
                <w:b/>
                <w:color w:val="FFFFFF"/>
                <w:sz w:val="16"/>
              </w:rPr>
              <w:t xml:space="preserve">Keep / reject decision</w:t>
            </w:r>
          </w:p>
        </w:tc>
      </w:tr>
      <w:tr>
        <w:tc>
          <w:tcPr>
            <w:tcW w:w="1800" w:type="dxa"/>
          </w:tcPr>
          <w:p>
            <w:pPr>
              <w:spacing w:after="40"/>
            </w:pPr>
            <w:r>
              <w:rPr>
                <w:sz w:val="16"/>
              </w:rPr>
              <w:t xml:space="preserve">1. Authorized POS, retailer, or commerce export (target)</w:t>
            </w:r>
          </w:p>
        </w:tc>
        <w:tc>
          <w:tcPr>
            <w:tcW w:w="1800" w:type="dxa"/>
          </w:tcPr>
          <w:p>
            <w:pPr>
              <w:spacing w:after="40"/>
            </w:pPr>
            <w:r>
              <w:rPr>
                <w:sz w:val="16"/>
              </w:rPr>
              <w:t xml:space="preserve">Request 24-36+ consecutive months at daily or weekly grain, by SKU, with transaction date, net units, channel/region, returns, price, promotion, and stock availability where approved.</w:t>
            </w:r>
          </w:p>
        </w:tc>
        <w:tc>
          <w:tcPr>
            <w:tcW w:w="1800" w:type="dxa"/>
          </w:tcPr>
          <w:p>
            <w:pPr>
              <w:spacing w:after="40"/>
            </w:pPr>
            <w:r>
              <w:rPr>
                <w:sz w:val="16"/>
              </w:rPr>
              <w:t xml:space="preserve">Use as the target only after the owner confirms population coverage, unit definition, returns treatment, and permission to analyze.</w:t>
            </w:r>
          </w:p>
        </w:tc>
      </w:tr>
      <w:tr>
        <w:tc>
          <w:tcPr>
            <w:tcW w:w="1800" w:type="dxa"/>
            <w:shd w:fill="F2F6FA"/>
          </w:tcPr>
          <w:p>
            <w:pPr>
              <w:spacing w:after="40"/>
            </w:pPr>
            <w:r>
              <w:rPr>
                <w:sz w:val="16"/>
              </w:rPr>
              <w:t xml:space="preserve">2. Google Trends (optional leading signal)</w:t>
            </w:r>
          </w:p>
        </w:tc>
        <w:tc>
          <w:tcPr>
            <w:tcW w:w="1800" w:type="dxa"/>
            <w:shd w:fill="F2F6FA"/>
          </w:tcPr>
          <w:p>
            <w:pPr>
              <w:spacing w:after="40"/>
            </w:pPr>
            <w:r>
              <w:rPr>
                <w:sz w:val="16"/>
              </w:rPr>
              <w:t xml:space="preserve">For example, pre-register a small set such as 'skincare' and 'moisturizer'; set geography to India and keep category, search type, time window, and retrieval date fixed. Save each export and settings.</w:t>
            </w:r>
          </w:p>
        </w:tc>
        <w:tc>
          <w:tcPr>
            <w:tcW w:w="1800" w:type="dxa"/>
            <w:shd w:fill="F2F6FA"/>
          </w:tcPr>
          <w:p>
            <w:pPr>
              <w:spacing w:after="40"/>
            </w:pPr>
            <w:r>
              <w:rPr>
                <w:sz w:val="16"/>
              </w:rPr>
              <w:t xml:space="preserve">Retain as a relative index, not a search count. Do not compare index levels from separate query batches as though they share a scale.</w:t>
            </w:r>
          </w:p>
        </w:tc>
      </w:tr>
      <w:tr>
        <w:tc>
          <w:tcPr>
            <w:tcW w:w="1800" w:type="dxa"/>
          </w:tcPr>
          <w:p>
            <w:pPr>
              <w:spacing w:after="40"/>
            </w:pPr>
            <w:r>
              <w:rPr>
                <w:sz w:val="16"/>
              </w:rPr>
              <w:t xml:space="preserve">3. MoSPI CPI or a named data.gov.in series (context)</w:t>
            </w:r>
          </w:p>
        </w:tc>
        <w:tc>
          <w:tcPr>
            <w:tcW w:w="1800" w:type="dxa"/>
          </w:tcPr>
          <w:p>
            <w:pPr>
              <w:spacing w:after="40"/>
            </w:pPr>
            <w:r>
              <w:rPr>
                <w:sz w:val="16"/>
              </w:rPr>
              <w:t xml:space="preserve">Select one exact table/series only after confirming its item scope, geography, units, cadence, publication date, and revision notes.</w:t>
            </w:r>
          </w:p>
        </w:tc>
        <w:tc>
          <w:tcPr>
            <w:tcW w:w="1800" w:type="dxa"/>
          </w:tcPr>
          <w:p>
            <w:pPr>
              <w:spacing w:after="40"/>
            </w:pPr>
            <w:r>
              <w:rPr>
                <w:sz w:val="16"/>
              </w:rPr>
              <w:t xml:space="preserve">Keep only if the definition and frequency plausibly match the business question; annual or broad inflation data is contextual, not a monthly skincare-sales target.</w:t>
            </w:r>
          </w:p>
        </w:tc>
      </w:tr>
      <w:tr>
        <w:tc>
          <w:tcPr>
            <w:tcW w:w="1800" w:type="dxa"/>
            <w:shd w:fill="F2F6FA"/>
          </w:tcPr>
          <w:p>
            <w:pPr>
              <w:spacing w:after="40"/>
            </w:pPr>
            <w:r>
              <w:rPr>
                <w:sz w:val="16"/>
              </w:rPr>
              <w:t xml:space="preserve">4. Reviews, trade, product catalog, or advertising (optional)</w:t>
            </w:r>
          </w:p>
        </w:tc>
        <w:tc>
          <w:tcPr>
            <w:tcW w:w="1800" w:type="dxa"/>
            <w:shd w:fill="F2F6FA"/>
          </w:tcPr>
          <w:p>
            <w:pPr>
              <w:spacing w:after="40"/>
            </w:pPr>
            <w:r>
              <w:rPr>
                <w:sz w:val="16"/>
              </w:rPr>
              <w:t xml:space="preserve">Pilot a small sample; document category mapping, date coverage, access method, terms, and known selection bias before collection.</w:t>
            </w:r>
          </w:p>
        </w:tc>
        <w:tc>
          <w:tcPr>
            <w:tcW w:w="1800" w:type="dxa"/>
            <w:shd w:fill="F2F6FA"/>
          </w:tcPr>
          <w:p>
            <w:pPr>
              <w:spacing w:after="40"/>
            </w:pPr>
            <w:r>
              <w:rPr>
                <w:sz w:val="16"/>
              </w:rPr>
              <w:t xml:space="preserve">Include only if it adds measurable value and lawful access is clear. Do not scrape restricted data or treat review/ad counts as sales.</w:t>
            </w:r>
          </w:p>
        </w:tc>
      </w:tr>
    </w:tbl>
    <w:p>
      <w:pPr>
        <w:pStyle w:val="Heading2"/>
      </w:pPr>
      <w:r>
        <w:t xml:space="preserve">4.1 Collection and reproducibility steps</w:t>
      </w:r>
    </w:p>
    <w:p>
      <w:pPr>
        <w:pStyle w:val="Normal"/>
      </w:pPr>
      <w:r>
        <w:t xml:space="preserve">1) Approve the decision and target definition: units sold (recommended) versus orders or revenue; gross versus net of returns; category/SKU mapping; India/channel scope; calendar-month and time-zone rule; and forecast issue date.</w:t>
      </w:r>
    </w:p>
    <w:p>
      <w:pPr>
        <w:pStyle w:val="Normal"/>
      </w:pPr>
      <w:r>
        <w:t xml:space="preserve">2) Ask the data owner for an authorized extract and a field dictionary. Request transaction/order ID for duplicate checks, product and location keys, transaction date, quantity, return quantity, net selling price, discount/promotion, and in-stock or availability status. Request a control total for reconciliation.</w:t>
      </w:r>
    </w:p>
    <w:p>
      <w:pPr>
        <w:pStyle w:val="Normal"/>
      </w:pPr>
      <w:r>
        <w:t xml:space="preserve">3) Preserve the received file unchanged as a read-only raw snapshot. Record source owner, extraction timestamp, covered dates, row count, file checksum, access approval, permitted use, and any known exclusions in a source register.</w:t>
      </w:r>
    </w:p>
    <w:p>
      <w:pPr>
        <w:pStyle w:val="Normal"/>
      </w:pPr>
      <w:r>
        <w:t xml:space="preserve">4) Profile date and key coverage before aggregation. Resolve duplicate IDs, returns, SKU/category mapping, cancelled orders, currency, taxes, stock-outs, and missing trading days with the owner; log each rule rather than silently changing rows.</w:t>
      </w:r>
    </w:p>
    <w:p>
      <w:pPr>
        <w:pStyle w:val="Normal"/>
      </w:pPr>
      <w:r>
        <w:t xml:space="preserve">5) Download public indicators only after the target period and geography are fixed. Save exact query/series identifiers, geography, filters, request or download date, observation period, release/vintage date, units, and terms. Keep the raw response beside the register entry.</w:t>
      </w:r>
    </w:p>
    <w:p>
      <w:pPr>
        <w:pStyle w:val="Normal"/>
      </w:pPr>
      <w:r>
        <w:t xml:space="preserve">6) Produce a separate cleaned monthly table from raw inputs using a versioned script. Aggregate target units by month after validation; aggregate price or promotion using a defined weighting/meaning, and keep public indicators as separate source tables until keys and timing are compatible.</w:t>
      </w:r>
    </w:p>
    <w:p>
      <w:pPr>
        <w:pStyle w:val="Normal"/>
      </w:pPr>
      <w:r>
        <w:t xml:space="preserve">7) Join using explicit month, geography, category, and channel keys. Preserve missingness and publication/vintage dates; for forecasting, exclude any predictor that would not have been available at the forecast issue date.</w:t>
      </w:r>
    </w:p>
    <w:p>
      <w:pPr>
        <w:pStyle w:val="Normal"/>
      </w:pPr>
      <w:r>
        <w:t xml:space="preserve">8) Store credentials outside source code, restrict access to sensitive transaction files, minimize personal data, and follow source licenses, API terms, rate limits, retention, and attribution requirements.</w:t>
      </w:r>
    </w:p>
    <w:p>
      <w:pPr>
        <w:pStyle w:val="Heading2"/>
      </w:pPr>
      <w:r>
        <w:t xml:space="preserve">4.2 Example data dictionary and file layout</w:t>
      </w:r>
    </w:p>
    <w:p>
      <w:pPr>
        <w:pStyle w:val="Normal"/>
      </w:pPr>
      <w:r>
        <w:t xml:space="preserve">Illustrative schema only; field names must be mapped to the actual source dictionary. Keep transaction-level raw data separate from the model-ready monthly table.</w:t>
      </w:r>
    </w:p>
    <w:tbl>
      <w:tblPr>
        <w:tblStyle w:val="TableGrid"/>
        <w:tblW w:w="0" w:type="auto"/>
      </w:tblPr>
      <w:tblGrid>
        <w:gridCol w:w="1800"/>
        <w:gridCol w:w="1800"/>
        <w:gridCol w:w="1800"/>
      </w:tblGrid>
      <w:tr>
        <w:tc>
          <w:tcPr>
            <w:tcW w:w="1800" w:type="dxa"/>
            <w:shd w:fill="17365D"/>
          </w:tcPr>
          <w:p>
            <w:pPr>
              <w:spacing w:after="40"/>
            </w:pPr>
            <w:r>
              <w:rPr>
                <w:b/>
                <w:color w:val="FFFFFF"/>
                <w:sz w:val="16"/>
              </w:rPr>
              <w:t xml:space="preserve">Field</w:t>
            </w:r>
          </w:p>
        </w:tc>
        <w:tc>
          <w:tcPr>
            <w:tcW w:w="1800" w:type="dxa"/>
            <w:shd w:fill="17365D"/>
          </w:tcPr>
          <w:p>
            <w:pPr>
              <w:spacing w:after="40"/>
            </w:pPr>
            <w:r>
              <w:rPr>
                <w:b/>
                <w:color w:val="FFFFFF"/>
                <w:sz w:val="16"/>
              </w:rPr>
              <w:t xml:space="preserve">Grain / example</w:t>
            </w:r>
          </w:p>
        </w:tc>
        <w:tc>
          <w:tcPr>
            <w:tcW w:w="1800" w:type="dxa"/>
            <w:shd w:fill="17365D"/>
          </w:tcPr>
          <w:p>
            <w:pPr>
              <w:spacing w:after="40"/>
            </w:pPr>
            <w:r>
              <w:rPr>
                <w:b/>
                <w:color w:val="FFFFFF"/>
                <w:sz w:val="16"/>
              </w:rPr>
              <w:t xml:space="preserve">Rule before use</w:t>
            </w:r>
          </w:p>
        </w:tc>
      </w:tr>
      <w:tr>
        <w:tc>
          <w:tcPr>
            <w:tcW w:w="1800" w:type="dxa"/>
          </w:tcPr>
          <w:p>
            <w:pPr>
              <w:spacing w:after="40"/>
            </w:pPr>
            <w:r>
              <w:rPr>
                <w:sz w:val="16"/>
              </w:rPr>
              <w:t xml:space="preserve">transaction_id</w:t>
            </w:r>
          </w:p>
        </w:tc>
        <w:tc>
          <w:tcPr>
            <w:tcW w:w="1800" w:type="dxa"/>
          </w:tcPr>
          <w:p>
            <w:pPr>
              <w:spacing w:after="40"/>
            </w:pPr>
            <w:r>
              <w:rPr>
                <w:sz w:val="16"/>
              </w:rPr>
              <w:t xml:space="preserve">One source order line; e.g. T-1042</w:t>
            </w:r>
          </w:p>
        </w:tc>
        <w:tc>
          <w:tcPr>
            <w:tcW w:w="1800" w:type="dxa"/>
          </w:tcPr>
          <w:p>
            <w:pPr>
              <w:spacing w:after="40"/>
            </w:pPr>
            <w:r>
              <w:rPr>
                <w:sz w:val="16"/>
              </w:rPr>
              <w:t xml:space="preserve">Required for duplicate investigation; never expose personal identifiers in the report.</w:t>
            </w:r>
          </w:p>
        </w:tc>
      </w:tr>
      <w:tr>
        <w:tc>
          <w:tcPr>
            <w:tcW w:w="1800" w:type="dxa"/>
            <w:shd w:fill="F2F6FA"/>
          </w:tcPr>
          <w:p>
            <w:pPr>
              <w:spacing w:after="40"/>
            </w:pPr>
            <w:r>
              <w:rPr>
                <w:sz w:val="16"/>
              </w:rPr>
              <w:t xml:space="preserve">transaction_date</w:t>
            </w:r>
          </w:p>
        </w:tc>
        <w:tc>
          <w:tcPr>
            <w:tcW w:w="1800" w:type="dxa"/>
            <w:shd w:fill="F2F6FA"/>
          </w:tcPr>
          <w:p>
            <w:pPr>
              <w:spacing w:after="40"/>
            </w:pPr>
            <w:r>
              <w:rPr>
                <w:sz w:val="16"/>
              </w:rPr>
              <w:t xml:space="preserve">Source timestamp; e.g. 2025-01-14</w:t>
            </w:r>
          </w:p>
        </w:tc>
        <w:tc>
          <w:tcPr>
            <w:tcW w:w="1800" w:type="dxa"/>
            <w:shd w:fill="F2F6FA"/>
          </w:tcPr>
          <w:p>
            <w:pPr>
              <w:spacing w:after="40"/>
            </w:pPr>
            <w:r>
              <w:rPr>
                <w:sz w:val="16"/>
              </w:rPr>
              <w:t xml:space="preserve">Parse timezone and assign month using the approved India business-calendar rule.</w:t>
            </w:r>
          </w:p>
        </w:tc>
      </w:tr>
      <w:tr>
        <w:tc>
          <w:tcPr>
            <w:tcW w:w="1800" w:type="dxa"/>
          </w:tcPr>
          <w:p>
            <w:pPr>
              <w:spacing w:after="40"/>
            </w:pPr>
            <w:r>
              <w:rPr>
                <w:sz w:val="16"/>
              </w:rPr>
              <w:t xml:space="preserve">sku / category</w:t>
            </w:r>
          </w:p>
        </w:tc>
        <w:tc>
          <w:tcPr>
            <w:tcW w:w="1800" w:type="dxa"/>
          </w:tcPr>
          <w:p>
            <w:pPr>
              <w:spacing w:after="40"/>
            </w:pPr>
            <w:r>
              <w:rPr>
                <w:sz w:val="16"/>
              </w:rPr>
              <w:t xml:space="preserve">Product key and mapped category; e.g. S-01 / skincare</w:t>
            </w:r>
          </w:p>
        </w:tc>
        <w:tc>
          <w:tcPr>
            <w:tcW w:w="1800" w:type="dxa"/>
          </w:tcPr>
          <w:p>
            <w:pPr>
              <w:spacing w:after="40"/>
            </w:pPr>
            <w:r>
              <w:rPr>
                <w:sz w:val="16"/>
              </w:rPr>
              <w:t xml:space="preserve">Use a dated, documented mapping; keep unmapped records visible in the QA log.</w:t>
            </w:r>
          </w:p>
        </w:tc>
      </w:tr>
      <w:tr>
        <w:tc>
          <w:tcPr>
            <w:tcW w:w="1800" w:type="dxa"/>
            <w:shd w:fill="F2F6FA"/>
          </w:tcPr>
          <w:p>
            <w:pPr>
              <w:spacing w:after="40"/>
            </w:pPr>
            <w:r>
              <w:rPr>
                <w:sz w:val="16"/>
              </w:rPr>
              <w:t xml:space="preserve">region / channel</w:t>
            </w:r>
          </w:p>
        </w:tc>
        <w:tc>
          <w:tcPr>
            <w:tcW w:w="1800" w:type="dxa"/>
            <w:shd w:fill="F2F6FA"/>
          </w:tcPr>
          <w:p>
            <w:pPr>
              <w:spacing w:after="40"/>
            </w:pPr>
            <w:r>
              <w:rPr>
                <w:sz w:val="16"/>
              </w:rPr>
              <w:t xml:space="preserve">Approved geography and sales channel</w:t>
            </w:r>
          </w:p>
        </w:tc>
        <w:tc>
          <w:tcPr>
            <w:tcW w:w="1800" w:type="dxa"/>
            <w:shd w:fill="F2F6FA"/>
          </w:tcPr>
          <w:p>
            <w:pPr>
              <w:spacing w:after="40"/>
            </w:pPr>
            <w:r>
              <w:rPr>
                <w:sz w:val="16"/>
              </w:rPr>
              <w:t xml:space="preserve">Normalize spelling and levels; don't combine channels unless scope permits.</w:t>
            </w:r>
          </w:p>
        </w:tc>
      </w:tr>
      <w:tr>
        <w:tc>
          <w:tcPr>
            <w:tcW w:w="1800" w:type="dxa"/>
          </w:tcPr>
          <w:p>
            <w:pPr>
              <w:spacing w:after="40"/>
            </w:pPr>
            <w:r>
              <w:rPr>
                <w:sz w:val="16"/>
              </w:rPr>
              <w:t xml:space="preserve">net_units</w:t>
            </w:r>
          </w:p>
        </w:tc>
        <w:tc>
          <w:tcPr>
            <w:tcW w:w="1800" w:type="dxa"/>
          </w:tcPr>
          <w:p>
            <w:pPr>
              <w:spacing w:after="40"/>
            </w:pPr>
            <w:r>
              <w:rPr>
                <w:sz w:val="16"/>
              </w:rPr>
              <w:t xml:space="preserve">Units after the agreed returns rule; e.g. 5</w:t>
            </w:r>
          </w:p>
        </w:tc>
        <w:tc>
          <w:tcPr>
            <w:tcW w:w="1800" w:type="dxa"/>
          </w:tcPr>
          <w:p>
            <w:pPr>
              <w:spacing w:after="40"/>
            </w:pPr>
            <w:r>
              <w:rPr>
                <w:sz w:val="16"/>
              </w:rPr>
              <w:t xml:space="preserve">Finite numeric value; negative returns handled by the approved net/gross rule.</w:t>
            </w:r>
          </w:p>
        </w:tc>
      </w:tr>
      <w:tr>
        <w:tc>
          <w:tcPr>
            <w:tcW w:w="1800" w:type="dxa"/>
            <w:shd w:fill="F2F6FA"/>
          </w:tcPr>
          <w:p>
            <w:pPr>
              <w:spacing w:after="40"/>
            </w:pPr>
            <w:r>
              <w:rPr>
                <w:sz w:val="16"/>
              </w:rPr>
              <w:t xml:space="preserve">net_price / promotion / in_stock</w:t>
            </w:r>
          </w:p>
        </w:tc>
        <w:tc>
          <w:tcPr>
            <w:tcW w:w="1800" w:type="dxa"/>
            <w:shd w:fill="F2F6FA"/>
          </w:tcPr>
          <w:p>
            <w:pPr>
              <w:spacing w:after="40"/>
            </w:pPr>
            <w:r>
              <w:rPr>
                <w:sz w:val="16"/>
              </w:rPr>
              <w:t xml:space="preserve">Currency per unit / flag or discount / availability</w:t>
            </w:r>
          </w:p>
        </w:tc>
        <w:tc>
          <w:tcPr>
            <w:tcW w:w="1800" w:type="dxa"/>
            <w:shd w:fill="F2F6FA"/>
          </w:tcPr>
          <w:p>
            <w:pPr>
              <w:spacing w:after="40"/>
            </w:pPr>
            <w:r>
              <w:rPr>
                <w:sz w:val="16"/>
              </w:rPr>
              <w:t xml:space="preserve">Standardize currency and definitions; retain missing flags and avoid invented values.</w:t>
            </w:r>
          </w:p>
        </w:tc>
      </w:tr>
      <w:tr>
        <w:tc>
          <w:tcPr>
            <w:tcW w:w="1800" w:type="dxa"/>
          </w:tcPr>
          <w:p>
            <w:pPr>
              <w:spacing w:after="40"/>
            </w:pPr>
            <w:r>
              <w:rPr>
                <w:sz w:val="16"/>
              </w:rPr>
              <w:t xml:space="preserve">month / source_id / release_date</w:t>
            </w:r>
          </w:p>
        </w:tc>
        <w:tc>
          <w:tcPr>
            <w:tcW w:w="1800" w:type="dxa"/>
          </w:tcPr>
          <w:p>
            <w:pPr>
              <w:spacing w:after="40"/>
            </w:pPr>
            <w:r>
              <w:rPr>
                <w:sz w:val="16"/>
              </w:rPr>
              <w:t xml:space="preserve">Monthly key and lineage metadata</w:t>
            </w:r>
          </w:p>
        </w:tc>
        <w:tc>
          <w:tcPr>
            <w:tcW w:w="1800" w:type="dxa"/>
          </w:tcPr>
          <w:p>
            <w:pPr>
              <w:spacing w:after="40"/>
            </w:pPr>
            <w:r>
              <w:rPr>
                <w:sz w:val="16"/>
              </w:rPr>
              <w:t xml:space="preserve">Retain source and publication timing through aggregation and joins.</w:t>
            </w:r>
          </w:p>
        </w:tc>
      </w:tr>
    </w:tbl>
    <w:p>
      <w:pPr>
        <w:pStyle w:val="Normal"/>
      </w:pPr>
      <w:r>
        <w:t xml:space="preserve">Aggregation example (illustrative, not observed data): two validated January transaction lines for the same scope with 5 and 3 net units become 8 monthly units. A January Trends value remains a separate monthly signal; it is not added to units. Keep the raw rows so the monthly total can be traced and reconciled.</w:t>
      </w:r>
    </w:p>
    <w:p>
      <w:pPr>
        <w:pStyle w:val="Normal"/>
      </w:pPr>
      <w:r>
        <w:t xml:space="preserve">Suggested deliverable layout: raw/ (unchanged source snapshots), source_register.csv (source, owner, exact identifier/query, terms, coverage, retrieval and release dates), cleaned/monthly_demand.csv (one row per month/category/region/channel), qa_log.csv (check, affected rows/months, decision, owner, date), and report.docx. Do not put credentials in these files.</w:t>
      </w:r>
    </w:p>
    <w:p>
      <w:pPr>
        <w:pStyle w:val="Heading1"/>
      </w:pPr>
      <w:r>
        <w:t xml:space="preserve">5. Proposed hypotheses and tests</w:t>
      </w:r>
    </w:p>
    <w:p>
      <w:pPr>
        <w:pStyle w:val="Normal"/>
      </w:pPr>
      <w:r>
        <w:t xml:space="preserve">The Week 1 brief names example problem types but does not provide prewritten hypotheses. The following are therefore proposed, testable hypotheses for the selected demand-forecasting problem; replace them with the exact Week 1 wording if it differs.</w:t>
      </w:r>
    </w:p>
    <w:tbl>
      <w:tblPr>
        <w:tblStyle w:val="TableGrid"/>
        <w:tblW w:w="0" w:type="auto"/>
      </w:tblPr>
      <w:tblGrid>
        <w:gridCol w:w="1800"/>
        <w:gridCol w:w="1800"/>
        <w:gridCol w:w="1800"/>
      </w:tblGrid>
      <w:tr>
        <w:tc>
          <w:tcPr>
            <w:tcW w:w="1800" w:type="dxa"/>
            <w:shd w:fill="17365D"/>
          </w:tcPr>
          <w:p>
            <w:pPr>
              <w:spacing w:after="40"/>
            </w:pPr>
            <w:r>
              <w:rPr>
                <w:b/>
                <w:color w:val="FFFFFF"/>
                <w:sz w:val="16"/>
              </w:rPr>
              <w:t xml:space="preserve">Hypothesis</w:t>
            </w:r>
          </w:p>
        </w:tc>
        <w:tc>
          <w:tcPr>
            <w:tcW w:w="1800" w:type="dxa"/>
            <w:shd w:fill="17365D"/>
          </w:tcPr>
          <w:p>
            <w:pPr>
              <w:spacing w:after="40"/>
            </w:pPr>
            <w:r>
              <w:rPr>
                <w:b/>
                <w:color w:val="FFFFFF"/>
                <w:sz w:val="16"/>
              </w:rPr>
              <w:t xml:space="preserve">Variables and method</w:t>
            </w:r>
          </w:p>
        </w:tc>
        <w:tc>
          <w:tcPr>
            <w:tcW w:w="1800" w:type="dxa"/>
            <w:shd w:fill="17365D"/>
          </w:tcPr>
          <w:p>
            <w:pPr>
              <w:spacing w:after="40"/>
            </w:pPr>
            <w:r>
              <w:rPr>
                <w:b/>
                <w:color w:val="FFFFFF"/>
                <w:sz w:val="16"/>
              </w:rPr>
              <w:t xml:space="preserve">Evidence and caveat</w:t>
            </w:r>
          </w:p>
        </w:tc>
      </w:tr>
      <w:tr>
        <w:tc>
          <w:tcPr>
            <w:tcW w:w="1800" w:type="dxa"/>
          </w:tcPr>
          <w:p>
            <w:pPr>
              <w:spacing w:after="40"/>
            </w:pPr>
            <w:r>
              <w:rPr>
                <w:sz w:val="16"/>
              </w:rPr>
              <w:t xml:space="preserve">H1: Google search interest is positively associated with monthly skincare sales, potentially with a one-month lead.</w:t>
            </w:r>
          </w:p>
        </w:tc>
        <w:tc>
          <w:tcPr>
            <w:tcW w:w="1800" w:type="dxa"/>
          </w:tcPr>
          <w:p>
            <w:pPr>
              <w:spacing w:after="40"/>
            </w:pPr>
            <w:r>
              <w:rPr>
                <w:sz w:val="16"/>
              </w:rPr>
              <w:t xml:space="preserve">Monthly actual units and consistently collected Trends index; scatter plot, Pearson and Spearman correlation, then compare lag 0 and lag 1. Test on an aligned time window.</w:t>
            </w:r>
          </w:p>
        </w:tc>
        <w:tc>
          <w:tcPr>
            <w:tcW w:w="1800" w:type="dxa"/>
          </w:tcPr>
          <w:p>
            <w:pPr>
              <w:spacing w:after="40"/>
            </w:pPr>
            <w:r>
              <w:rPr>
                <w:sz w:val="16"/>
              </w:rPr>
              <w:t xml:space="preserve">Report sample size and confidence intervals; association is not causation and Trends is normalized.</w:t>
            </w:r>
          </w:p>
        </w:tc>
      </w:tr>
      <w:tr>
        <w:tc>
          <w:tcPr>
            <w:tcW w:w="1800" w:type="dxa"/>
            <w:shd w:fill="F2F6FA"/>
          </w:tcPr>
          <w:p>
            <w:pPr>
              <w:spacing w:after="40"/>
            </w:pPr>
            <w:r>
              <w:rPr>
                <w:sz w:val="16"/>
              </w:rPr>
              <w:t xml:space="preserve">H2: Demand varies by calendar month after accounting for trend.</w:t>
            </w:r>
          </w:p>
        </w:tc>
        <w:tc>
          <w:tcPr>
            <w:tcW w:w="1800" w:type="dxa"/>
            <w:shd w:fill="F2F6FA"/>
          </w:tcPr>
          <w:p>
            <w:pPr>
              <w:spacing w:after="40"/>
            </w:pPr>
            <w:r>
              <w:rPr>
                <w:sz w:val="16"/>
              </w:rPr>
              <w:t xml:space="preserve">Month-of-year, demand, year; seasonal plot and seasonal index. With multiple years, use a time-aware regression or Kruskal-Wallis/ANOVA as an exploratory check.</w:t>
            </w:r>
          </w:p>
        </w:tc>
        <w:tc>
          <w:tcPr>
            <w:tcW w:w="1800" w:type="dxa"/>
            <w:shd w:fill="F2F6FA"/>
          </w:tcPr>
          <w:p>
            <w:pPr>
              <w:spacing w:after="40"/>
            </w:pPr>
            <w:r>
              <w:rPr>
                <w:sz w:val="16"/>
              </w:rPr>
              <w:t xml:space="preserve">Require at least two full annual cycles (preferably more); control trend and changing distribution.</w:t>
            </w:r>
          </w:p>
        </w:tc>
      </w:tr>
      <w:tr>
        <w:tc>
          <w:tcPr>
            <w:tcW w:w="1800" w:type="dxa"/>
          </w:tcPr>
          <w:p>
            <w:pPr>
              <w:spacing w:after="40"/>
            </w:pPr>
            <w:r>
              <w:rPr>
                <w:sz w:val="16"/>
              </w:rPr>
              <w:t xml:space="preserve">H3: Promotion periods have different average demand from non-promotion periods.</w:t>
            </w:r>
          </w:p>
        </w:tc>
        <w:tc>
          <w:tcPr>
            <w:tcW w:w="1800" w:type="dxa"/>
          </w:tcPr>
          <w:p>
            <w:pPr>
              <w:spacing w:after="40"/>
            </w:pPr>
            <w:r>
              <w:rPr>
                <w:sz w:val="16"/>
              </w:rPr>
              <w:t xml:space="preserve">Promotion flag/discount, units, in-stock status; compare groups and use Welch's t-test or a suitable count/time-series regression.</w:t>
            </w:r>
          </w:p>
        </w:tc>
        <w:tc>
          <w:tcPr>
            <w:tcW w:w="1800" w:type="dxa"/>
          </w:tcPr>
          <w:p>
            <w:pPr>
              <w:spacing w:after="40"/>
            </w:pPr>
            <w:r>
              <w:rPr>
                <w:sz w:val="16"/>
              </w:rPr>
              <w:t xml:space="preserve">Promotions are not randomized; price, stock-outs, channel mix, and seasonality confound the comparison.</w:t>
            </w:r>
          </w:p>
        </w:tc>
      </w:tr>
      <w:tr>
        <w:tc>
          <w:tcPr>
            <w:tcW w:w="1800" w:type="dxa"/>
            <w:shd w:fill="F2F6FA"/>
          </w:tcPr>
          <w:p>
            <w:pPr>
              <w:spacing w:after="40"/>
            </w:pPr>
            <w:r>
              <w:rPr>
                <w:sz w:val="16"/>
              </w:rPr>
              <w:t xml:space="preserve">H4: A model using only history can be beaten by a model adding public signals.</w:t>
            </w:r>
          </w:p>
        </w:tc>
        <w:tc>
          <w:tcPr>
            <w:tcW w:w="1800" w:type="dxa"/>
            <w:shd w:fill="F2F6FA"/>
          </w:tcPr>
          <w:p>
            <w:pPr>
              <w:spacing w:after="40"/>
            </w:pPr>
            <w:r>
              <w:rPr>
                <w:sz w:val="16"/>
              </w:rPr>
              <w:t xml:space="preserve">Expanding-window or rolling-origin backtesting; compare MAE and WAPE against last-value and seasonal-naive baselines.</w:t>
            </w:r>
          </w:p>
        </w:tc>
        <w:tc>
          <w:tcPr>
            <w:tcW w:w="1800" w:type="dxa"/>
            <w:shd w:fill="F2F6FA"/>
          </w:tcPr>
          <w:p>
            <w:pPr>
              <w:spacing w:after="40"/>
            </w:pPr>
            <w:r>
              <w:rPr>
                <w:sz w:val="16"/>
              </w:rPr>
              <w:t xml:space="preserve">Use only signals published by the forecast date; retain a final untouched time-based test period.</w:t>
            </w:r>
          </w:p>
        </w:tc>
      </w:tr>
    </w:tbl>
    <w:p>
      <w:pPr>
        <w:pStyle w:val="Heading1"/>
      </w:pPr>
      <w:r>
        <w:t xml:space="preserve">6. Initial exploratory analysis plan</w:t>
      </w:r>
    </w:p>
    <w:p>
      <w:pPr>
        <w:pStyle w:val="Normal"/>
      </w:pPr>
      <w:r>
        <w:t xml:space="preserve">Run the checks in order and save each output before modelling. The objective is to understand coverage and measurement first, describe the observed demand second, and only then test whether signals or forecasts are useful.</w:t>
      </w:r>
    </w:p>
    <w:tbl>
      <w:tblPr>
        <w:tblStyle w:val="TableGrid"/>
        <w:tblW w:w="0" w:type="auto"/>
      </w:tblPr>
      <w:tblGrid>
        <w:gridCol w:w="1800"/>
        <w:gridCol w:w="1800"/>
        <w:gridCol w:w="1800"/>
      </w:tblGrid>
      <w:tr>
        <w:tc>
          <w:tcPr>
            <w:tcW w:w="1800" w:type="dxa"/>
            <w:shd w:fill="17365D"/>
          </w:tcPr>
          <w:p>
            <w:pPr>
              <w:spacing w:after="40"/>
            </w:pPr>
            <w:r>
              <w:rPr>
                <w:b/>
                <w:color w:val="FFFFFF"/>
                <w:sz w:val="16"/>
              </w:rPr>
              <w:t xml:space="preserve">Stage</w:t>
            </w:r>
          </w:p>
        </w:tc>
        <w:tc>
          <w:tcPr>
            <w:tcW w:w="1800" w:type="dxa"/>
            <w:shd w:fill="17365D"/>
          </w:tcPr>
          <w:p>
            <w:pPr>
              <w:spacing w:after="40"/>
            </w:pPr>
            <w:r>
              <w:rPr>
                <w:b/>
                <w:color w:val="FFFFFF"/>
                <w:sz w:val="16"/>
              </w:rPr>
              <w:t xml:space="preserve">Concrete analysis</w:t>
            </w:r>
          </w:p>
        </w:tc>
        <w:tc>
          <w:tcPr>
            <w:tcW w:w="1800" w:type="dxa"/>
            <w:shd w:fill="17365D"/>
          </w:tcPr>
          <w:p>
            <w:pPr>
              <w:spacing w:after="40"/>
            </w:pPr>
            <w:r>
              <w:rPr>
                <w:b/>
                <w:color w:val="FFFFFF"/>
                <w:sz w:val="16"/>
              </w:rPr>
              <w:t xml:space="preserve">Output and interpretation</w:t>
            </w:r>
          </w:p>
        </w:tc>
      </w:tr>
      <w:tr>
        <w:tc>
          <w:tcPr>
            <w:tcW w:w="1800" w:type="dxa"/>
          </w:tcPr>
          <w:p>
            <w:pPr>
              <w:spacing w:after="40"/>
            </w:pPr>
            <w:r>
              <w:rPr>
                <w:sz w:val="16"/>
              </w:rPr>
              <w:t xml:space="preserve">1. Shape and coverage</w:t>
            </w:r>
          </w:p>
        </w:tc>
        <w:tc>
          <w:tcPr>
            <w:tcW w:w="1800" w:type="dxa"/>
          </w:tcPr>
          <w:p>
            <w:pPr>
              <w:spacing w:after="40"/>
            </w:pPr>
            <w:r>
              <w:rPr>
                <w:sz w:val="16"/>
              </w:rPr>
              <w:t xml:space="preserve">Count rows and distinct IDs; report min/max date, months expected vs present, category/region/channel levels, daily coverage, and source release dates.</w:t>
            </w:r>
          </w:p>
        </w:tc>
        <w:tc>
          <w:tcPr>
            <w:tcW w:w="1800" w:type="dxa"/>
          </w:tcPr>
          <w:p>
            <w:pPr>
              <w:spacing w:after="40"/>
            </w:pPr>
            <w:r>
              <w:rPr>
                <w:sz w:val="16"/>
              </w:rPr>
              <w:t xml:space="preserve">Source inventory and month-by-month coverage calendar. Investigate gaps before deciding whether an absent month means zero or missing data.</w:t>
            </w:r>
          </w:p>
        </w:tc>
      </w:tr>
      <w:tr>
        <w:tc>
          <w:tcPr>
            <w:tcW w:w="1800" w:type="dxa"/>
            <w:shd w:fill="F2F6FA"/>
          </w:tcPr>
          <w:p>
            <w:pPr>
              <w:spacing w:after="40"/>
            </w:pPr>
            <w:r>
              <w:rPr>
                <w:sz w:val="16"/>
              </w:rPr>
              <w:t xml:space="preserve">2. Target distribution</w:t>
            </w:r>
          </w:p>
        </w:tc>
        <w:tc>
          <w:tcPr>
            <w:tcW w:w="1800" w:type="dxa"/>
            <w:shd w:fill="F2F6FA"/>
          </w:tcPr>
          <w:p>
            <w:pPr>
              <w:spacing w:after="40"/>
            </w:pPr>
            <w:r>
              <w:rPr>
                <w:sz w:val="16"/>
              </w:rPr>
              <w:t xml:space="preserve">For units by month calculate n, sum, mean, median, standard deviation, IQR, min/max, and selected percentiles (25th/75th/95th). State whether statistics describe monthly totals or transaction averages.</w:t>
            </w:r>
          </w:p>
        </w:tc>
        <w:tc>
          <w:tcPr>
            <w:tcW w:w="1800" w:type="dxa"/>
            <w:shd w:fill="F2F6FA"/>
          </w:tcPr>
          <w:p>
            <w:pPr>
              <w:spacing w:after="40"/>
            </w:pPr>
            <w:r>
              <w:rPr>
                <w:sz w:val="16"/>
              </w:rPr>
              <w:t xml:space="preserve">Summary table plus histogram/box plot. Example: a large mean-median gap suggests skew or spikes; check events and data errors before transforming.</w:t>
            </w:r>
          </w:p>
        </w:tc>
      </w:tr>
      <w:tr>
        <w:tc>
          <w:tcPr>
            <w:tcW w:w="1800" w:type="dxa"/>
          </w:tcPr>
          <w:p>
            <w:pPr>
              <w:spacing w:after="40"/>
            </w:pPr>
            <w:r>
              <w:rPr>
                <w:sz w:val="16"/>
              </w:rPr>
              <w:t xml:space="preserve">3. Trend and seasonality</w:t>
            </w:r>
          </w:p>
        </w:tc>
        <w:tc>
          <w:tcPr>
            <w:tcW w:w="1800" w:type="dxa"/>
          </w:tcPr>
          <w:p>
            <w:pPr>
              <w:spacing w:after="40"/>
            </w:pPr>
            <w:r>
              <w:rPr>
                <w:sz w:val="16"/>
              </w:rPr>
              <w:t xml:space="preserve">Plot monthly totals and a 3-month rolling mean; compute year-over-year change and month-of-year averages/indices. Compare same months across years; require at least two complete annual cycles for an initial seasonality claim.</w:t>
            </w:r>
          </w:p>
        </w:tc>
        <w:tc>
          <w:tcPr>
            <w:tcW w:w="1800" w:type="dxa"/>
          </w:tcPr>
          <w:p>
            <w:pPr>
              <w:spacing w:after="40"/>
            </w:pPr>
            <w:r>
              <w:rPr>
                <w:sz w:val="16"/>
              </w:rPr>
              <w:t xml:space="preserve">Annotated time plot and seasonal profile. Mark promotions, stock-outs, assortment changes, and incomplete edge months; do not infer seasonality from one year.</w:t>
            </w:r>
          </w:p>
        </w:tc>
      </w:tr>
      <w:tr>
        <w:tc>
          <w:tcPr>
            <w:tcW w:w="1800" w:type="dxa"/>
            <w:shd w:fill="F2F6FA"/>
          </w:tcPr>
          <w:p>
            <w:pPr>
              <w:spacing w:after="40"/>
            </w:pPr>
            <w:r>
              <w:rPr>
                <w:sz w:val="16"/>
              </w:rPr>
              <w:t xml:space="preserve">4. Segment and explain variation</w:t>
            </w:r>
          </w:p>
        </w:tc>
        <w:tc>
          <w:tcPr>
            <w:tcW w:w="1800" w:type="dxa"/>
            <w:shd w:fill="F2F6FA"/>
          </w:tcPr>
          <w:p>
            <w:pPr>
              <w:spacing w:after="40"/>
            </w:pPr>
            <w:r>
              <w:rPr>
                <w:sz w:val="16"/>
              </w:rPr>
              <w:t xml:space="preserve">Repeat summaries by channel, region, and product only when definitions are stable. Compare promotion vs non-promotion and price bands; report group counts and in-stock coverage.</w:t>
            </w:r>
          </w:p>
        </w:tc>
        <w:tc>
          <w:tcPr>
            <w:tcW w:w="1800" w:type="dxa"/>
            <w:shd w:fill="F2F6FA"/>
          </w:tcPr>
          <w:p>
            <w:pPr>
              <w:spacing w:after="40"/>
            </w:pPr>
            <w:r>
              <w:rPr>
                <w:sz w:val="16"/>
              </w:rPr>
              <w:t xml:space="preserve">Small-multiple trend/box plots and a segment table. Label small samples; observational promotion differences are not causal effects.</w:t>
            </w:r>
          </w:p>
        </w:tc>
      </w:tr>
      <w:tr>
        <w:tc>
          <w:tcPr>
            <w:tcW w:w="1800" w:type="dxa"/>
          </w:tcPr>
          <w:p>
            <w:pPr>
              <w:spacing w:after="40"/>
            </w:pPr>
            <w:r>
              <w:rPr>
                <w:sz w:val="16"/>
              </w:rPr>
              <w:t xml:space="preserve">5. Candidate signals</w:t>
            </w:r>
          </w:p>
        </w:tc>
        <w:tc>
          <w:tcPr>
            <w:tcW w:w="1800" w:type="dxa"/>
          </w:tcPr>
          <w:p>
            <w:pPr>
              <w:spacing w:after="40"/>
            </w:pPr>
            <w:r>
              <w:rPr>
                <w:sz w:val="16"/>
              </w:rPr>
              <w:t xml:space="preserve">Align Trends and other predictors on month and geography; report paired sample count; compare same-month and 1-month lead Pearson and Spearman correlation; inspect scatter/time plots and release timing.</w:t>
            </w:r>
          </w:p>
        </w:tc>
        <w:tc>
          <w:tcPr>
            <w:tcW w:w="1800" w:type="dxa"/>
          </w:tcPr>
          <w:p>
            <w:pPr>
              <w:spacing w:after="40"/>
            </w:pPr>
            <w:r>
              <w:rPr>
                <w:sz w:val="16"/>
              </w:rPr>
              <w:t xml:space="preserve">Correlation/lag table and plots. For example, a positive lag-1 association is a hypothesis for backtesting, not proof that searches cause sales.</w:t>
            </w:r>
          </w:p>
        </w:tc>
      </w:tr>
      <w:tr>
        <w:tc>
          <w:tcPr>
            <w:tcW w:w="1800" w:type="dxa"/>
            <w:shd w:fill="F2F6FA"/>
          </w:tcPr>
          <w:p>
            <w:pPr>
              <w:spacing w:after="40"/>
            </w:pPr>
            <w:r>
              <w:rPr>
                <w:sz w:val="16"/>
              </w:rPr>
              <w:t xml:space="preserve">6. Baseline and forecast validation</w:t>
            </w:r>
          </w:p>
        </w:tc>
        <w:tc>
          <w:tcPr>
            <w:tcW w:w="1800" w:type="dxa"/>
            <w:shd w:fill="F2F6FA"/>
          </w:tcPr>
          <w:p>
            <w:pPr>
              <w:spacing w:after="40"/>
            </w:pPr>
            <w:r>
              <w:rPr>
                <w:sz w:val="16"/>
              </w:rPr>
              <w:t xml:space="preserve">Compare last-value and seasonal-naive forecasts using chronological rolling-origin folds; report MAE = mean absolute error and WAPE = 100 x sum(abs(error))/sum(abs(actual)). Keep the latest period untouched for final evaluation.</w:t>
            </w:r>
          </w:p>
        </w:tc>
        <w:tc>
          <w:tcPr>
            <w:tcW w:w="1800" w:type="dxa"/>
            <w:shd w:fill="F2F6FA"/>
          </w:tcPr>
          <w:p>
            <w:pPr>
              <w:spacing w:after="40"/>
            </w:pPr>
            <w:r>
              <w:rPr>
                <w:sz w:val="16"/>
              </w:rPr>
              <w:t xml:space="preserve">Actual-vs-predicted plot, error table by horizon, and residual time plot. If actual totals sum to zero, report WAPE as unavailable; never random-split time series.</w:t>
            </w:r>
          </w:p>
        </w:tc>
      </w:tr>
      <w:tr>
        <w:tc>
          <w:tcPr>
            <w:tcW w:w="1800" w:type="dxa"/>
          </w:tcPr>
          <w:p>
            <w:pPr>
              <w:spacing w:after="40"/>
            </w:pPr>
            <w:r>
              <w:rPr>
                <w:sz w:val="16"/>
              </w:rPr>
              <w:t xml:space="preserve">7. Decision and limitations</w:t>
            </w:r>
          </w:p>
        </w:tc>
        <w:tc>
          <w:tcPr>
            <w:tcW w:w="1800" w:type="dxa"/>
          </w:tcPr>
          <w:p>
            <w:pPr>
              <w:spacing w:after="40"/>
            </w:pPr>
            <w:r>
              <w:rPr>
                <w:sz w:val="16"/>
              </w:rPr>
              <w:t xml:space="preserve">Compare public-signal model errors with the sales-only baseline on the same folds; document data exclusions, unavailable features, and forecast issue date.</w:t>
            </w:r>
          </w:p>
        </w:tc>
        <w:tc>
          <w:tcPr>
            <w:tcW w:w="1800" w:type="dxa"/>
          </w:tcPr>
          <w:p>
            <w:pPr>
              <w:spacing w:after="40"/>
            </w:pPr>
            <w:r>
              <w:rPr>
                <w:sz w:val="16"/>
              </w:rPr>
              <w:t xml:space="preserve">One-page decision note: retain a signal only if it improves out-of-time error consistently and is available when decisions are made.</w:t>
            </w:r>
          </w:p>
        </w:tc>
      </w:tr>
    </w:tbl>
    <w:p>
      <w:pPr>
        <w:pStyle w:val="Normal"/>
      </w:pPr>
      <w:r>
        <w:t xml:space="preserve">Illustrative calculation: if actual monthly units are [100, 120] and forecasts are [90, 130], absolute errors are [10, 10], so MAE = 10 units and WAPE = 100 x 20/220 = 9.1%. This is a worked example only, not a result from the internship dataset.</w:t>
      </w:r>
    </w:p>
    <w:p>
      <w:pPr>
        <w:pStyle w:val="Normal"/>
      </w:pPr>
      <w:r>
        <w:t xml:space="preserve">The application currently computes row acceptance/filter counts, invalid demand/date counts, missing-month checks, basic monthly summaries, a seasonal profile, optional search correlations, and simple holdout baseline metrics. It does not yet perform transaction-ID deduplication, render plots, validate source licenses, or run formal significance tests; perform and document those checks in the approved analysis environment.</w:t>
      </w:r>
    </w:p>
    <w:p>
      <w:pPr>
        <w:pStyle w:val="Heading1"/>
      </w:pPr>
      <w:r>
        <w:t xml:space="preserve">7. Data quality assessment and preprocessing plan</w:t>
      </w:r>
    </w:p>
    <w:p>
      <w:pPr>
        <w:pStyle w:val="Normal"/>
      </w:pPr>
      <w:r>
        <w:t xml:space="preserve">Profile raw data before filtering or aggregation, then rerun checks on the cleaned monthly table. The thresholds below are proposed starting gates, not universal standards: agree them with the data owner and assignment supervisor before evaluating the actual dataset. Never turn a failed check into an unrecorded deletion or imputation.</w:t>
      </w:r>
    </w:p>
    <w:tbl>
      <w:tblPr>
        <w:tblStyle w:val="TableGrid"/>
        <w:tblW w:w="0" w:type="auto"/>
      </w:tblPr>
      <w:tblGrid>
        <w:gridCol w:w="1800"/>
        <w:gridCol w:w="1800"/>
        <w:gridCol w:w="1800"/>
      </w:tblGrid>
      <w:tr>
        <w:tc>
          <w:tcPr>
            <w:tcW w:w="1800" w:type="dxa"/>
            <w:shd w:fill="17365D"/>
          </w:tcPr>
          <w:p>
            <w:pPr>
              <w:spacing w:after="40"/>
            </w:pPr>
            <w:r>
              <w:rPr>
                <w:b/>
                <w:color w:val="FFFFFF"/>
                <w:sz w:val="16"/>
              </w:rPr>
              <w:t xml:space="preserve">Check</w:t>
            </w:r>
          </w:p>
        </w:tc>
        <w:tc>
          <w:tcPr>
            <w:tcW w:w="1800" w:type="dxa"/>
            <w:shd w:fill="17365D"/>
          </w:tcPr>
          <w:p>
            <w:pPr>
              <w:spacing w:after="40"/>
            </w:pPr>
            <w:r>
              <w:rPr>
                <w:b/>
                <w:color w:val="FFFFFF"/>
                <w:sz w:val="16"/>
              </w:rPr>
              <w:t xml:space="preserve">Example test / initial gate</w:t>
            </w:r>
          </w:p>
        </w:tc>
        <w:tc>
          <w:tcPr>
            <w:tcW w:w="1800" w:type="dxa"/>
            <w:shd w:fill="17365D"/>
          </w:tcPr>
          <w:p>
            <w:pPr>
              <w:spacing w:after="40"/>
            </w:pPr>
            <w:r>
              <w:rPr>
                <w:b/>
                <w:color w:val="FFFFFF"/>
                <w:sz w:val="16"/>
              </w:rPr>
              <w:t xml:space="preserve">Action and evidence to record</w:t>
            </w:r>
          </w:p>
        </w:tc>
      </w:tr>
      <w:tr>
        <w:tc>
          <w:tcPr>
            <w:tcW w:w="1800" w:type="dxa"/>
          </w:tcPr>
          <w:p>
            <w:pPr>
              <w:spacing w:after="40"/>
            </w:pPr>
            <w:r>
              <w:rPr>
                <w:sz w:val="16"/>
              </w:rPr>
              <w:t xml:space="preserve">Completeness and period coverage</w:t>
            </w:r>
          </w:p>
        </w:tc>
        <w:tc>
          <w:tcPr>
            <w:tcW w:w="1800" w:type="dxa"/>
          </w:tcPr>
          <w:p>
            <w:pPr>
              <w:spacing w:after="40"/>
            </w:pPr>
            <w:r>
              <w:rPr>
                <w:sz w:val="16"/>
              </w:rPr>
              <w:t xml:space="preserve">Compare observed months with the approved expected calendar and source coverage. Investigate every missing month; target periods needed for a forecast should be complete or explicitly excluded.</w:t>
            </w:r>
          </w:p>
        </w:tc>
        <w:tc>
          <w:tcPr>
            <w:tcW w:w="1800" w:type="dxa"/>
          </w:tcPr>
          <w:p>
            <w:pPr>
              <w:spacing w:after="40"/>
            </w:pPr>
            <w:r>
              <w:rPr>
                <w:sz w:val="16"/>
              </w:rPr>
              <w:t xml:space="preserve">Classify each gap as no activity, feed failure, closed channel, or unknown. Zero-fill only with source-owner confirmation; retain a gap and decision log.</w:t>
            </w:r>
          </w:p>
        </w:tc>
      </w:tr>
      <w:tr>
        <w:tc>
          <w:tcPr>
            <w:tcW w:w="1800" w:type="dxa"/>
            <w:shd w:fill="F2F6FA"/>
          </w:tcPr>
          <w:p>
            <w:pPr>
              <w:spacing w:after="40"/>
            </w:pPr>
            <w:r>
              <w:rPr>
                <w:sz w:val="16"/>
              </w:rPr>
              <w:t xml:space="preserve">Required values and parseability</w:t>
            </w:r>
          </w:p>
        </w:tc>
        <w:tc>
          <w:tcPr>
            <w:tcW w:w="1800" w:type="dxa"/>
            <w:shd w:fill="F2F6FA"/>
          </w:tcPr>
          <w:p>
            <w:pPr>
              <w:spacing w:after="40"/>
            </w:pPr>
            <w:r>
              <w:rPr>
                <w:sz w:val="16"/>
              </w:rPr>
              <w:t xml:space="preserve">Date, product/category, scope keys, and target units must parse for every included row. Proposed gate: 100% valid among rows retained for the target.</w:t>
            </w:r>
          </w:p>
        </w:tc>
        <w:tc>
          <w:tcPr>
            <w:tcW w:w="1800" w:type="dxa"/>
            <w:shd w:fill="F2F6FA"/>
          </w:tcPr>
          <w:p>
            <w:pPr>
              <w:spacing w:after="40"/>
            </w:pPr>
            <w:r>
              <w:rPr>
                <w:sz w:val="16"/>
              </w:rPr>
              <w:t xml:space="preserve">Quarantine failures, count and sample them, correct from source when possible, otherwise exclude with a reason and quantify the impact on monthly totals.</w:t>
            </w:r>
          </w:p>
        </w:tc>
      </w:tr>
      <w:tr>
        <w:tc>
          <w:tcPr>
            <w:tcW w:w="1800" w:type="dxa"/>
          </w:tcPr>
          <w:p>
            <w:pPr>
              <w:spacing w:after="40"/>
            </w:pPr>
            <w:r>
              <w:rPr>
                <w:sz w:val="16"/>
              </w:rPr>
              <w:t xml:space="preserve">Uniqueness / duplicates</w:t>
            </w:r>
          </w:p>
        </w:tc>
        <w:tc>
          <w:tcPr>
            <w:tcW w:w="1800" w:type="dxa"/>
          </w:tcPr>
          <w:p>
            <w:pPr>
              <w:spacing w:after="40"/>
            </w:pPr>
            <w:r>
              <w:rPr>
                <w:sz w:val="16"/>
              </w:rPr>
              <w:t xml:space="preserve">Check transaction-line ID uniqueness; proposed target is zero unexplained duplicate IDs. Also inspect exact duplicate rows and repeated ID/date/SKU keys.</w:t>
            </w:r>
          </w:p>
        </w:tc>
        <w:tc>
          <w:tcPr>
            <w:tcW w:w="1800" w:type="dxa"/>
          </w:tcPr>
          <w:p>
            <w:pPr>
              <w:spacing w:after="40"/>
            </w:pPr>
            <w:r>
              <w:rPr>
                <w:sz w:val="16"/>
              </w:rPr>
              <w:t xml:space="preserve">Confirm whether duplicates are legitimate split lines or resend errors with the owner. The current app cannot deduplicate without an ID and sums rows.</w:t>
            </w:r>
          </w:p>
        </w:tc>
      </w:tr>
      <w:tr>
        <w:tc>
          <w:tcPr>
            <w:tcW w:w="1800" w:type="dxa"/>
            <w:shd w:fill="F2F6FA"/>
          </w:tcPr>
          <w:p>
            <w:pPr>
              <w:spacing w:after="40"/>
            </w:pPr>
            <w:r>
              <w:rPr>
                <w:sz w:val="16"/>
              </w:rPr>
              <w:t xml:space="preserve">Validity and ranges</w:t>
            </w:r>
          </w:p>
        </w:tc>
        <w:tc>
          <w:tcPr>
            <w:tcW w:w="1800" w:type="dxa"/>
            <w:shd w:fill="F2F6FA"/>
          </w:tcPr>
          <w:p>
            <w:pPr>
              <w:spacing w:after="40"/>
            </w:pPr>
            <w:r>
              <w:rPr>
                <w:sz w:val="16"/>
              </w:rPr>
              <w:t xml:space="preserve">Demand must be finite; negative quantities require a documented returns rule. Check price &gt;= 0, promotion values in the agreed set, and Trends index in 0-100.</w:t>
            </w:r>
          </w:p>
        </w:tc>
        <w:tc>
          <w:tcPr>
            <w:tcW w:w="1800" w:type="dxa"/>
            <w:shd w:fill="F2F6FA"/>
          </w:tcPr>
          <w:p>
            <w:pPr>
              <w:spacing w:after="40"/>
            </w:pPr>
            <w:r>
              <w:rPr>
                <w:sz w:val="16"/>
              </w:rPr>
              <w:t xml:space="preserve">Do not silently clamp values. Correct or quarantine invalid entries; separate returns if source semantics require gross sales plus returns.</w:t>
            </w:r>
          </w:p>
        </w:tc>
      </w:tr>
      <w:tr>
        <w:tc>
          <w:tcPr>
            <w:tcW w:w="1800" w:type="dxa"/>
          </w:tcPr>
          <w:p>
            <w:pPr>
              <w:spacing w:after="40"/>
            </w:pPr>
            <w:r>
              <w:rPr>
                <w:sz w:val="16"/>
              </w:rPr>
              <w:t xml:space="preserve">Category, region, and units</w:t>
            </w:r>
          </w:p>
        </w:tc>
        <w:tc>
          <w:tcPr>
            <w:tcW w:w="1800" w:type="dxa"/>
          </w:tcPr>
          <w:p>
            <w:pPr>
              <w:spacing w:after="40"/>
            </w:pPr>
            <w:r>
              <w:rPr>
                <w:sz w:val="16"/>
              </w:rPr>
              <w:t xml:space="preserve">Measure unmapped SKU/location rows and reconcile currency, unit of measure, tax, channel, month boundary, and time zone across sources.</w:t>
            </w:r>
          </w:p>
        </w:tc>
        <w:tc>
          <w:tcPr>
            <w:tcW w:w="1800" w:type="dxa"/>
          </w:tcPr>
          <w:p>
            <w:pPr>
              <w:spacing w:after="40"/>
            </w:pPr>
            <w:r>
              <w:rPr>
                <w:sz w:val="16"/>
              </w:rPr>
              <w:t xml:space="preserve">Use controlled mapping tables and version them. Proposed target: no unmapped in-scope target rows; show excluded/out-of-scope counts separately.</w:t>
            </w:r>
          </w:p>
        </w:tc>
      </w:tr>
      <w:tr>
        <w:tc>
          <w:tcPr>
            <w:tcW w:w="1800" w:type="dxa"/>
            <w:shd w:fill="F2F6FA"/>
          </w:tcPr>
          <w:p>
            <w:pPr>
              <w:spacing w:after="40"/>
            </w:pPr>
            <w:r>
              <w:rPr>
                <w:sz w:val="16"/>
              </w:rPr>
              <w:t xml:space="preserve">Reconciliation and representativeness</w:t>
            </w:r>
          </w:p>
        </w:tc>
        <w:tc>
          <w:tcPr>
            <w:tcW w:w="1800" w:type="dxa"/>
            <w:shd w:fill="F2F6FA"/>
          </w:tcPr>
          <w:p>
            <w:pPr>
              <w:spacing w:after="40"/>
            </w:pPr>
            <w:r>
              <w:rPr>
                <w:sz w:val="16"/>
              </w:rPr>
              <w:t xml:space="preserve">Reconcile cleaned sums to owner-provided control totals by month/channel; compare store, channel, and SKU coverage with the intended population.</w:t>
            </w:r>
          </w:p>
        </w:tc>
        <w:tc>
          <w:tcPr>
            <w:tcW w:w="1800" w:type="dxa"/>
            <w:shd w:fill="F2F6FA"/>
          </w:tcPr>
          <w:p>
            <w:pPr>
              <w:spacing w:after="40"/>
            </w:pPr>
            <w:r>
              <w:rPr>
                <w:sz w:val="16"/>
              </w:rPr>
              <w:t xml:space="preserve">Agree tolerance with source owner before use; record differences, exclusions, known coverage changes, and whether the data supports the decision population.</w:t>
            </w:r>
          </w:p>
        </w:tc>
      </w:tr>
      <w:tr>
        <w:tc>
          <w:tcPr>
            <w:tcW w:w="1800" w:type="dxa"/>
          </w:tcPr>
          <w:p>
            <w:pPr>
              <w:spacing w:after="40"/>
            </w:pPr>
            <w:r>
              <w:rPr>
                <w:sz w:val="16"/>
              </w:rPr>
              <w:t xml:space="preserve">Outliers and structural breaks</w:t>
            </w:r>
          </w:p>
        </w:tc>
        <w:tc>
          <w:tcPr>
            <w:tcW w:w="1800" w:type="dxa"/>
          </w:tcPr>
          <w:p>
            <w:pPr>
              <w:spacing w:after="40"/>
            </w:pPr>
            <w:r>
              <w:rPr>
                <w:sz w:val="16"/>
              </w:rPr>
              <w:t xml:space="preserve">Flag unusual monthly changes (for investigation, e.g. robust IQR/MAD flags) and dates of assortment, pricing, channel, or policy changes.</w:t>
            </w:r>
          </w:p>
        </w:tc>
        <w:tc>
          <w:tcPr>
            <w:tcW w:w="1800" w:type="dxa"/>
          </w:tcPr>
          <w:p>
            <w:pPr>
              <w:spacing w:after="40"/>
            </w:pPr>
            <w:r>
              <w:rPr>
                <w:sz w:val="16"/>
              </w:rPr>
              <w:t xml:space="preserve">Verify against source/events; retain genuine spikes. Do not delete outliers automatically or calculate thresholds on future test data.</w:t>
            </w:r>
          </w:p>
        </w:tc>
      </w:tr>
      <w:tr>
        <w:tc>
          <w:tcPr>
            <w:tcW w:w="1800" w:type="dxa"/>
            <w:shd w:fill="F2F6FA"/>
          </w:tcPr>
          <w:p>
            <w:pPr>
              <w:spacing w:after="40"/>
            </w:pPr>
            <w:r>
              <w:rPr>
                <w:sz w:val="16"/>
              </w:rPr>
              <w:t xml:space="preserve">Stock-outs, returns, and censoring</w:t>
            </w:r>
          </w:p>
        </w:tc>
        <w:tc>
          <w:tcPr>
            <w:tcW w:w="1800" w:type="dxa"/>
            <w:shd w:fill="F2F6FA"/>
          </w:tcPr>
          <w:p>
            <w:pPr>
              <w:spacing w:after="40"/>
            </w:pPr>
            <w:r>
              <w:rPr>
                <w:sz w:val="16"/>
              </w:rPr>
              <w:t xml:space="preserve">Review in-stock days, unavailable SKUs, cancellations, and returns by month.</w:t>
            </w:r>
          </w:p>
        </w:tc>
        <w:tc>
          <w:tcPr>
            <w:tcW w:w="1800" w:type="dxa"/>
            <w:shd w:fill="F2F6FA"/>
          </w:tcPr>
          <w:p>
            <w:pPr>
              <w:spacing w:after="40"/>
            </w:pPr>
            <w:r>
              <w:rPr>
                <w:sz w:val="16"/>
              </w:rPr>
              <w:t xml:space="preserve">Sales during stock-outs can understate demand. Flag or exclude affected periods from specific analyses only with a documented rationale.</w:t>
            </w:r>
          </w:p>
        </w:tc>
      </w:tr>
      <w:tr>
        <w:tc>
          <w:tcPr>
            <w:tcW w:w="1800" w:type="dxa"/>
          </w:tcPr>
          <w:p>
            <w:pPr>
              <w:spacing w:after="40"/>
            </w:pPr>
            <w:r>
              <w:rPr>
                <w:sz w:val="16"/>
              </w:rPr>
              <w:t xml:space="preserve">Source comparability and time leakage</w:t>
            </w:r>
          </w:p>
        </w:tc>
        <w:tc>
          <w:tcPr>
            <w:tcW w:w="1800" w:type="dxa"/>
          </w:tcPr>
          <w:p>
            <w:pPr>
              <w:spacing w:after="40"/>
            </w:pPr>
            <w:r>
              <w:rPr>
                <w:sz w:val="16"/>
              </w:rPr>
              <w:t xml:space="preserve">Check compatible category/geography/frequency; store observation month and publication/retrieval vintage for every external predictor.</w:t>
            </w:r>
          </w:p>
        </w:tc>
        <w:tc>
          <w:tcPr>
            <w:tcW w:w="1800" w:type="dxa"/>
          </w:tcPr>
          <w:p>
            <w:pPr>
              <w:spacing w:after="40"/>
            </w:pPr>
            <w:r>
              <w:rPr>
                <w:sz w:val="16"/>
              </w:rPr>
              <w:t xml:space="preserve">Trends/reviews/ads are proxies; CPI/trade may be coarse or revised. Use only information released by the forecast issue date in backtests.</w:t>
            </w:r>
          </w:p>
        </w:tc>
      </w:tr>
      <w:tr>
        <w:tc>
          <w:tcPr>
            <w:tcW w:w="1800" w:type="dxa"/>
            <w:shd w:fill="F2F6FA"/>
          </w:tcPr>
          <w:p>
            <w:pPr>
              <w:spacing w:after="40"/>
            </w:pPr>
            <w:r>
              <w:rPr>
                <w:sz w:val="16"/>
              </w:rPr>
              <w:t xml:space="preserve">Privacy, terms, and lineage</w:t>
            </w:r>
          </w:p>
        </w:tc>
        <w:tc>
          <w:tcPr>
            <w:tcW w:w="1800" w:type="dxa"/>
            <w:shd w:fill="F2F6FA"/>
          </w:tcPr>
          <w:p>
            <w:pPr>
              <w:spacing w:after="40"/>
            </w:pPr>
            <w:r>
              <w:rPr>
                <w:sz w:val="16"/>
              </w:rPr>
              <w:t xml:space="preserve">Confirm authorization, license/API terms, retention, minimization, and access controls; each cleaned field must point to its source and transformation.</w:t>
            </w:r>
          </w:p>
        </w:tc>
        <w:tc>
          <w:tcPr>
            <w:tcW w:w="1800" w:type="dxa"/>
            <w:shd w:fill="F2F6FA"/>
          </w:tcPr>
          <w:p>
            <w:pPr>
              <w:spacing w:after="40"/>
            </w:pPr>
            <w:r>
              <w:rPr>
                <w:sz w:val="16"/>
              </w:rPr>
              <w:t xml:space="preserve">Restrict raw files and credentials, preserve immutable snapshots, and record owner, download date, file version/checksum, transformation, and QA decision.</w:t>
            </w:r>
          </w:p>
        </w:tc>
      </w:tr>
    </w:tbl>
    <w:p>
      <w:pPr>
        <w:pStyle w:val="Heading2"/>
      </w:pPr>
      <w:r>
        <w:t xml:space="preserve">7.1 Example QA log entry</w:t>
      </w:r>
    </w:p>
    <w:tbl>
      <w:tblPr>
        <w:tblStyle w:val="TableGrid"/>
        <w:tblW w:w="0" w:type="auto"/>
      </w:tblPr>
      <w:tblGrid>
        <w:gridCol w:w="1800"/>
        <w:gridCol w:w="1800"/>
        <w:gridCol w:w="1800"/>
      </w:tblGrid>
      <w:tr>
        <w:tc>
          <w:tcPr>
            <w:tcW w:w="1800" w:type="dxa"/>
            <w:shd w:fill="17365D"/>
          </w:tcPr>
          <w:p>
            <w:pPr>
              <w:spacing w:after="40"/>
            </w:pPr>
            <w:r>
              <w:rPr>
                <w:b/>
                <w:color w:val="FFFFFF"/>
                <w:sz w:val="16"/>
              </w:rPr>
              <w:t xml:space="preserve">Check</w:t>
            </w:r>
          </w:p>
        </w:tc>
        <w:tc>
          <w:tcPr>
            <w:tcW w:w="1800" w:type="dxa"/>
            <w:shd w:fill="17365D"/>
          </w:tcPr>
          <w:p>
            <w:pPr>
              <w:spacing w:after="40"/>
            </w:pPr>
            <w:r>
              <w:rPr>
                <w:b/>
                <w:color w:val="FFFFFF"/>
                <w:sz w:val="16"/>
              </w:rPr>
              <w:t xml:space="preserve">Illustrative finding</w:t>
            </w:r>
          </w:p>
        </w:tc>
        <w:tc>
          <w:tcPr>
            <w:tcW w:w="1800" w:type="dxa"/>
            <w:shd w:fill="17365D"/>
          </w:tcPr>
          <w:p>
            <w:pPr>
              <w:spacing w:after="40"/>
            </w:pPr>
            <w:r>
              <w:rPr>
                <w:b/>
                <w:color w:val="FFFFFF"/>
                <w:sz w:val="16"/>
              </w:rPr>
              <w:t xml:space="preserve">Resolution / sign-off</w:t>
            </w:r>
          </w:p>
        </w:tc>
      </w:tr>
      <w:tr>
        <w:tc>
          <w:tcPr>
            <w:tcW w:w="1800" w:type="dxa"/>
          </w:tcPr>
          <w:p>
            <w:pPr>
              <w:spacing w:after="40"/>
            </w:pPr>
            <w:r>
              <w:rPr>
                <w:sz w:val="16"/>
              </w:rPr>
              <w:t xml:space="preserve">Missing month</w:t>
            </w:r>
          </w:p>
        </w:tc>
        <w:tc>
          <w:tcPr>
            <w:tcW w:w="1800" w:type="dxa"/>
          </w:tcPr>
          <w:p>
            <w:pPr>
              <w:spacing w:after="40"/>
            </w:pPr>
            <w:r>
              <w:rPr>
                <w:sz w:val="16"/>
              </w:rPr>
              <w:t xml:space="preserve">No rows for 2025-02 between observed January and March sales.</w:t>
            </w:r>
          </w:p>
        </w:tc>
        <w:tc>
          <w:tcPr>
            <w:tcW w:w="1800" w:type="dxa"/>
          </w:tcPr>
          <w:p>
            <w:pPr>
              <w:spacing w:after="40"/>
            </w:pPr>
            <w:r>
              <w:rPr>
                <w:sz w:val="16"/>
              </w:rPr>
              <w:t xml:space="preserve">Do not assume zero. Ask whether the feed was interrupted or sales were zero; record owner response. If unresolved, mark the series incomplete and withhold forecasting under the default error policy.</w:t>
            </w:r>
          </w:p>
        </w:tc>
      </w:tr>
      <w:tr>
        <w:tc>
          <w:tcPr>
            <w:tcW w:w="1800" w:type="dxa"/>
            <w:shd w:fill="F2F6FA"/>
          </w:tcPr>
          <w:p>
            <w:pPr>
              <w:spacing w:after="40"/>
            </w:pPr>
            <w:r>
              <w:rPr>
                <w:sz w:val="16"/>
              </w:rPr>
              <w:t xml:space="preserve">Duplicate order line</w:t>
            </w:r>
          </w:p>
        </w:tc>
        <w:tc>
          <w:tcPr>
            <w:tcW w:w="1800" w:type="dxa"/>
            <w:shd w:fill="F2F6FA"/>
          </w:tcPr>
          <w:p>
            <w:pPr>
              <w:spacing w:after="40"/>
            </w:pPr>
            <w:r>
              <w:rPr>
                <w:sz w:val="16"/>
              </w:rPr>
              <w:t xml:space="preserve">Two raw rows share transaction-line ID T-1042.</w:t>
            </w:r>
          </w:p>
        </w:tc>
        <w:tc>
          <w:tcPr>
            <w:tcW w:w="1800" w:type="dxa"/>
            <w:shd w:fill="F2F6FA"/>
          </w:tcPr>
          <w:p>
            <w:pPr>
              <w:spacing w:after="40"/>
            </w:pPr>
            <w:r>
              <w:rPr>
                <w:sz w:val="16"/>
              </w:rPr>
              <w:t xml:space="preserve">Compare payload and source export; deduplicate only if owner confirms resend. Log before/after row and unit totals plus approver.</w:t>
            </w:r>
          </w:p>
        </w:tc>
      </w:tr>
      <w:tr>
        <w:tc>
          <w:tcPr>
            <w:tcW w:w="1800" w:type="dxa"/>
          </w:tcPr>
          <w:p>
            <w:pPr>
              <w:spacing w:after="40"/>
            </w:pPr>
            <w:r>
              <w:rPr>
                <w:sz w:val="16"/>
              </w:rPr>
              <w:t xml:space="preserve">Unmapped product</w:t>
            </w:r>
          </w:p>
        </w:tc>
        <w:tc>
          <w:tcPr>
            <w:tcW w:w="1800" w:type="dxa"/>
          </w:tcPr>
          <w:p>
            <w:pPr>
              <w:spacing w:after="40"/>
            </w:pPr>
            <w:r>
              <w:rPr>
                <w:sz w:val="16"/>
              </w:rPr>
              <w:t xml:space="preserve">SKU S-99 has no approved category mapping.</w:t>
            </w:r>
          </w:p>
        </w:tc>
        <w:tc>
          <w:tcPr>
            <w:tcW w:w="1800" w:type="dxa"/>
          </w:tcPr>
          <w:p>
            <w:pPr>
              <w:spacing w:after="40"/>
            </w:pPr>
            <w:r>
              <w:rPr>
                <w:sz w:val="16"/>
              </w:rPr>
              <w:t xml:space="preserve">Hold out of category totals until mapped by the data owner; report its row count and units as excluded, not as zero demand.</w:t>
            </w:r>
          </w:p>
        </w:tc>
      </w:tr>
    </w:tbl>
    <w:p>
      <w:pPr>
        <w:pStyle w:val="Heading1"/>
      </w:pPr>
      <w:r>
        <w:t xml:space="preserve">8. Milestones and reproducibility</w:t>
      </w:r>
    </w:p>
    <w:tbl>
      <w:tblPr>
        <w:tblStyle w:val="TableGrid"/>
        <w:tblW w:w="0" w:type="auto"/>
      </w:tblPr>
      <w:tblGrid>
        <w:gridCol w:w="1800"/>
        <w:gridCol w:w="1800"/>
        <w:gridCol w:w="1800"/>
      </w:tblGrid>
      <w:tr>
        <w:tc>
          <w:tcPr>
            <w:tcW w:w="1800" w:type="dxa"/>
            <w:shd w:fill="17365D"/>
          </w:tcPr>
          <w:p>
            <w:pPr>
              <w:spacing w:after="40"/>
            </w:pPr>
            <w:r>
              <w:rPr>
                <w:b/>
                <w:color w:val="FFFFFF"/>
                <w:sz w:val="16"/>
              </w:rPr>
              <w:t xml:space="preserve">Work package</w:t>
            </w:r>
          </w:p>
        </w:tc>
        <w:tc>
          <w:tcPr>
            <w:tcW w:w="1800" w:type="dxa"/>
            <w:shd w:fill="17365D"/>
          </w:tcPr>
          <w:p>
            <w:pPr>
              <w:spacing w:after="40"/>
            </w:pPr>
            <w:r>
              <w:rPr>
                <w:b/>
                <w:color w:val="FFFFFF"/>
                <w:sz w:val="16"/>
              </w:rPr>
              <w:t xml:space="preserve">Planned effort</w:t>
            </w:r>
          </w:p>
        </w:tc>
        <w:tc>
          <w:tcPr>
            <w:tcW w:w="1800" w:type="dxa"/>
            <w:shd w:fill="17365D"/>
          </w:tcPr>
          <w:p>
            <w:pPr>
              <w:spacing w:after="40"/>
            </w:pPr>
            <w:r>
              <w:rPr>
                <w:b/>
                <w:color w:val="FFFFFF"/>
                <w:sz w:val="16"/>
              </w:rPr>
              <w:t xml:space="preserve">Evidence / deliverable</w:t>
            </w:r>
          </w:p>
        </w:tc>
      </w:tr>
      <w:tr>
        <w:tc>
          <w:tcPr>
            <w:tcW w:w="1800" w:type="dxa"/>
          </w:tcPr>
          <w:p>
            <w:pPr>
              <w:spacing w:after="40"/>
            </w:pPr>
            <w:r>
              <w:rPr>
                <w:sz w:val="16"/>
              </w:rPr>
              <w:t xml:space="preserve">Scope, target, and data dictionary</w:t>
            </w:r>
          </w:p>
        </w:tc>
        <w:tc>
          <w:tcPr>
            <w:tcW w:w="1800" w:type="dxa"/>
          </w:tcPr>
          <w:p>
            <w:pPr>
              <w:spacing w:after="40"/>
            </w:pPr>
            <w:r>
              <w:rPr>
                <w:sz w:val="16"/>
              </w:rPr>
              <w:t xml:space="preserve">3-4 hours</w:t>
            </w:r>
          </w:p>
        </w:tc>
        <w:tc>
          <w:tcPr>
            <w:tcW w:w="1800" w:type="dxa"/>
          </w:tcPr>
          <w:p>
            <w:pPr>
              <w:spacing w:after="40"/>
            </w:pPr>
            <w:r>
              <w:rPr>
                <w:sz w:val="16"/>
              </w:rPr>
              <w:t xml:space="preserve">Approved target definition, geography, monthly grain, variables and hypotheses.</w:t>
            </w:r>
          </w:p>
        </w:tc>
      </w:tr>
      <w:tr>
        <w:tc>
          <w:tcPr>
            <w:tcW w:w="1800" w:type="dxa"/>
            <w:shd w:fill="F2F6FA"/>
          </w:tcPr>
          <w:p>
            <w:pPr>
              <w:spacing w:after="40"/>
            </w:pPr>
            <w:r>
              <w:rPr>
                <w:sz w:val="16"/>
              </w:rPr>
              <w:t xml:space="preserve">Source research, access and licensing checks</w:t>
            </w:r>
          </w:p>
        </w:tc>
        <w:tc>
          <w:tcPr>
            <w:tcW w:w="1800" w:type="dxa"/>
            <w:shd w:fill="F2F6FA"/>
          </w:tcPr>
          <w:p>
            <w:pPr>
              <w:spacing w:after="40"/>
            </w:pPr>
            <w:r>
              <w:rPr>
                <w:sz w:val="16"/>
              </w:rPr>
              <w:t xml:space="preserve">6-7 hours</w:t>
            </w:r>
          </w:p>
        </w:tc>
        <w:tc>
          <w:tcPr>
            <w:tcW w:w="1800" w:type="dxa"/>
            <w:shd w:fill="F2F6FA"/>
          </w:tcPr>
          <w:p>
            <w:pPr>
              <w:spacing w:after="40"/>
            </w:pPr>
            <w:r>
              <w:rPr>
                <w:sz w:val="16"/>
              </w:rPr>
              <w:t xml:space="preserve">Source register, exact series/API identifiers, terms, access notes and feasibility.</w:t>
            </w:r>
          </w:p>
        </w:tc>
      </w:tr>
      <w:tr>
        <w:tc>
          <w:tcPr>
            <w:tcW w:w="1800" w:type="dxa"/>
          </w:tcPr>
          <w:p>
            <w:pPr>
              <w:spacing w:after="40"/>
            </w:pPr>
            <w:r>
              <w:rPr>
                <w:sz w:val="16"/>
              </w:rPr>
              <w:t xml:space="preserve">Primary data request and collection design</w:t>
            </w:r>
          </w:p>
        </w:tc>
        <w:tc>
          <w:tcPr>
            <w:tcW w:w="1800" w:type="dxa"/>
          </w:tcPr>
          <w:p>
            <w:pPr>
              <w:spacing w:after="40"/>
            </w:pPr>
            <w:r>
              <w:rPr>
                <w:sz w:val="16"/>
              </w:rPr>
              <w:t xml:space="preserve">5 hours</w:t>
            </w:r>
          </w:p>
        </w:tc>
        <w:tc>
          <w:tcPr>
            <w:tcW w:w="1800" w:type="dxa"/>
          </w:tcPr>
          <w:p>
            <w:pPr>
              <w:spacing w:after="40"/>
            </w:pPr>
            <w:r>
              <w:rPr>
                <w:sz w:val="16"/>
              </w:rPr>
              <w:t xml:space="preserve">Authorized extract specification, coverage and data lineage.</w:t>
            </w:r>
          </w:p>
        </w:tc>
      </w:tr>
      <w:tr>
        <w:tc>
          <w:tcPr>
            <w:tcW w:w="1800" w:type="dxa"/>
            <w:shd w:fill="F2F6FA"/>
          </w:tcPr>
          <w:p>
            <w:pPr>
              <w:spacing w:after="40"/>
            </w:pPr>
            <w:r>
              <w:rPr>
                <w:sz w:val="16"/>
              </w:rPr>
              <w:t xml:space="preserve">Cleaning, integration and quality audit</w:t>
            </w:r>
          </w:p>
        </w:tc>
        <w:tc>
          <w:tcPr>
            <w:tcW w:w="1800" w:type="dxa"/>
            <w:shd w:fill="F2F6FA"/>
          </w:tcPr>
          <w:p>
            <w:pPr>
              <w:spacing w:after="40"/>
            </w:pPr>
            <w:r>
              <w:rPr>
                <w:sz w:val="16"/>
              </w:rPr>
              <w:t xml:space="preserve">5 hours</w:t>
            </w:r>
          </w:p>
        </w:tc>
        <w:tc>
          <w:tcPr>
            <w:tcW w:w="1800" w:type="dxa"/>
            <w:shd w:fill="F2F6FA"/>
          </w:tcPr>
          <w:p>
            <w:pPr>
              <w:spacing w:after="40"/>
            </w:pPr>
            <w:r>
              <w:rPr>
                <w:sz w:val="16"/>
              </w:rPr>
              <w:t xml:space="preserve">Reproducible monthly data, missingness/exclusion log, quality summary.</w:t>
            </w:r>
          </w:p>
        </w:tc>
      </w:tr>
      <w:tr>
        <w:tc>
          <w:tcPr>
            <w:tcW w:w="1800" w:type="dxa"/>
          </w:tcPr>
          <w:p>
            <w:pPr>
              <w:spacing w:after="40"/>
            </w:pPr>
            <w:r>
              <w:rPr>
                <w:sz w:val="16"/>
              </w:rPr>
              <w:t xml:space="preserve">EDA and hypothesis test design</w:t>
            </w:r>
          </w:p>
        </w:tc>
        <w:tc>
          <w:tcPr>
            <w:tcW w:w="1800" w:type="dxa"/>
          </w:tcPr>
          <w:p>
            <w:pPr>
              <w:spacing w:after="40"/>
            </w:pPr>
            <w:r>
              <w:rPr>
                <w:sz w:val="16"/>
              </w:rPr>
              <w:t xml:space="preserve">5-6 hours</w:t>
            </w:r>
          </w:p>
        </w:tc>
        <w:tc>
          <w:tcPr>
            <w:tcW w:w="1800" w:type="dxa"/>
          </w:tcPr>
          <w:p>
            <w:pPr>
              <w:spacing w:after="40"/>
            </w:pPr>
            <w:r>
              <w:rPr>
                <w:sz w:val="16"/>
              </w:rPr>
              <w:t xml:space="preserve">Summary tables, time plots, hypothesis-to-variable/method mapping.</w:t>
            </w:r>
          </w:p>
        </w:tc>
      </w:tr>
      <w:tr>
        <w:tc>
          <w:tcPr>
            <w:tcW w:w="1800" w:type="dxa"/>
            <w:shd w:fill="F2F6FA"/>
          </w:tcPr>
          <w:p>
            <w:pPr>
              <w:spacing w:after="40"/>
            </w:pPr>
            <w:r>
              <w:rPr>
                <w:sz w:val="16"/>
              </w:rPr>
              <w:t xml:space="preserve">Baseline forecasting and review</w:t>
            </w:r>
          </w:p>
        </w:tc>
        <w:tc>
          <w:tcPr>
            <w:tcW w:w="1800" w:type="dxa"/>
            <w:shd w:fill="F2F6FA"/>
          </w:tcPr>
          <w:p>
            <w:pPr>
              <w:spacing w:after="40"/>
            </w:pPr>
            <w:r>
              <w:rPr>
                <w:sz w:val="16"/>
              </w:rPr>
              <w:t xml:space="preserve">4-5 hours</w:t>
            </w:r>
          </w:p>
        </w:tc>
        <w:tc>
          <w:tcPr>
            <w:tcW w:w="1800" w:type="dxa"/>
            <w:shd w:fill="F2F6FA"/>
          </w:tcPr>
          <w:p>
            <w:pPr>
              <w:spacing w:after="40"/>
            </w:pPr>
            <w:r>
              <w:rPr>
                <w:sz w:val="16"/>
              </w:rPr>
              <w:t xml:space="preserve">Time-based backtest against naive baselines and documented limitations.</w:t>
            </w:r>
          </w:p>
        </w:tc>
      </w:tr>
      <w:tr>
        <w:tc>
          <w:tcPr>
            <w:tcW w:w="1800" w:type="dxa"/>
          </w:tcPr>
          <w:p>
            <w:pPr>
              <w:spacing w:after="40"/>
            </w:pPr>
            <w:r>
              <w:rPr>
                <w:sz w:val="16"/>
              </w:rPr>
              <w:t xml:space="preserve">Report, reproducibility and stakeholder review</w:t>
            </w:r>
          </w:p>
        </w:tc>
        <w:tc>
          <w:tcPr>
            <w:tcW w:w="1800" w:type="dxa"/>
          </w:tcPr>
          <w:p>
            <w:pPr>
              <w:spacing w:after="40"/>
            </w:pPr>
            <w:r>
              <w:rPr>
                <w:sz w:val="16"/>
              </w:rPr>
              <w:t xml:space="preserve">2-3 hours</w:t>
            </w:r>
          </w:p>
        </w:tc>
        <w:tc>
          <w:tcPr>
            <w:tcW w:w="1800" w:type="dxa"/>
          </w:tcPr>
          <w:p>
            <w:pPr>
              <w:spacing w:after="40"/>
            </w:pPr>
            <w:r>
              <w:rPr>
                <w:sz w:val="16"/>
              </w:rPr>
              <w:t xml:space="preserve">Final report, source links, assumptions, and next-step decision.</w:t>
            </w:r>
          </w:p>
        </w:tc>
      </w:tr>
      <w:tr>
        <w:tc>
          <w:tcPr>
            <w:tcW w:w="1800" w:type="dxa"/>
            <w:shd w:fill="F2F6FA"/>
          </w:tcPr>
          <w:p>
            <w:pPr>
              <w:spacing w:after="40"/>
            </w:pPr>
            <w:r>
              <w:rPr>
                <w:sz w:val="16"/>
              </w:rPr>
              <w:t xml:space="preserve">Total</w:t>
            </w:r>
          </w:p>
        </w:tc>
        <w:tc>
          <w:tcPr>
            <w:tcW w:w="1800" w:type="dxa"/>
            <w:shd w:fill="F2F6FA"/>
          </w:tcPr>
          <w:p>
            <w:pPr>
              <w:spacing w:after="40"/>
            </w:pPr>
            <w:r>
              <w:rPr>
                <w:sz w:val="16"/>
              </w:rPr>
              <w:t xml:space="preserve">30-35 hours</w:t>
            </w:r>
          </w:p>
        </w:tc>
        <w:tc>
          <w:tcPr>
            <w:tcW w:w="1800" w:type="dxa"/>
            <w:shd w:fill="F2F6FA"/>
          </w:tcPr>
          <w:p>
            <w:pPr>
              <w:spacing w:after="40"/>
            </w:pPr>
            <w:r>
              <w:rPr>
                <w:sz w:val="16"/>
              </w:rPr>
              <w:t xml:space="preserve">Effort range aligns with the assignment; adjust within the range for data-access complexity.</w:t>
            </w:r>
          </w:p>
        </w:tc>
      </w:tr>
    </w:tbl>
    <w:p>
      <w:pPr>
        <w:pStyle w:val="Heading1"/>
      </w:pPr>
      <w:r>
        <w:t xml:space="preserve">9. Limitations and next steps</w:t>
      </w:r>
    </w:p>
    <w:p>
      <w:pPr>
        <w:pStyle w:val="Normal"/>
      </w:pPr>
      <w:r>
        <w:t xml:space="preserve">This report is a plan, not evidence that the candidate sources contain a complete public India skincare sales series. The application does not call external APIs, scrape platforms, or independently validate source availability. Public-source freshness, dataset terms, and exact categories must be checked before submission or collection. The optional CSV analysis demonstrates exploratory calculations and baseline forecasting; it is not a production inventory system or a causal model.</w:t>
      </w:r>
    </w:p>
    <w:p>
      <w:pPr>
        <w:pStyle w:val="Normal"/>
      </w:pPr>
      <w:r>
        <w:t xml:space="preserve">Next: confirm the exact Week 1 hypothesis wording; secure an authorized monthly sell-through history; record data definitions and source dates; collect aligned public indicators; audit coverage and missingness; then compare public-signal models with a time-based baseline.</w:t>
      </w:r>
    </w:p>
    <w:sectPr>
      <w:pgSz w:w="12240" w:h="15840"/>
      <w:pgMar w:top="1080" w:right="1080" w:bottom="1080" w:left="1080" w:header="540" w:footer="540" w:gutter="0"/>
    </w:sectPr>
  </w:body>
</w:document>
</file>

<file path=word/styles.xml><?xml version="1.0" encoding="utf-8"?>
<w:styles xmlns:w="http://schemas.openxmlformats.org/wordprocessingml/2006/main">
  <w:style w:type="paragraph" w:default="1" w:styleId="Normal">
    <w:name w:val="Normal"/>
    <w:rPr>
      <w:rFonts w:ascii="Calibri" w:hAnsi="Calibri"/>
      <w:sz w:val="20"/>
    </w:rPr>
    <w:pPr>
      <w:spacing w:after="120"/>
    </w:pPr>
  </w:style>
  <w:style w:type="paragraph" w:styleId="Heading1">
    <w:name w:val="heading 1"/>
    <w:basedOn w:val="Normal"/>
    <w:qFormat/>
    <w:rPr>
      <w:b/>
      <w:color w:val="17365D"/>
      <w:sz w:val="30"/>
    </w:rPr>
  </w:style>
  <w:style w:type="paragraph" w:styleId="Heading2">
    <w:name w:val="heading 2"/>
    <w:basedOn w:val="Normal"/>
    <w:qFormat/>
    <w:rPr>
      <w:b/>
      <w:color w:val="2F5597"/>
      <w:sz w:val="24"/>
    </w:rPr>
  </w:style>
  <w:style w:type="paragraph" w:styleId="Title">
    <w:name w:val="Title"/>
    <w:basedOn w:val="Normal"/>
    <w:rPr>
      <w:b/>
      <w:color w:val="17365D"/>
      <w:sz w:val="40"/>
    </w:rPr>
  </w:style>
  <w:style w:type="paragraph" w:styleId="Subtitle">
    <w:name w:val="Subtitle"/>
    <w:basedOn w:val="Normal"/>
    <w:rPr>
      <w:color w:val="666666"/>
      <w:sz w:val="24"/>
    </w:rPr>
  </w:style>
  <w:style w:type="character" w:styleId="Hyperlink">
    <w:name w:val="Hyperlink"/>
    <w:rPr>
      <w:color w:val="0563C1"/>
      <w:u w:val="single"/>
    </w:rPr>
  </w:style>
  <w:style w:type="table" w:styleId="TableGrid">
    <w:name w:val="Table Grid"/>
    <w:tblPr>
      <w:tblBorders>
        <w:top w:val="single" w:sz="4" w:color="D9E2F3"/>
        <w:left w:val="single" w:sz="4" w:color="D9E2F3"/>
        <w:bottom w:val="single" w:sz="4" w:color="D9E2F3"/>
        <w:right w:val="single" w:sz="4" w:color="D9E2F3"/>
        <w:insideH w:val="single" w:sz="4" w:color="D9E2F3"/>
        <w:insideV w:val="single" w:sz="4" w:color="D9E2F3"/>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1" Type="http://schemas.openxmlformats.org/officeDocument/2006/relationships/hyperlink" Target="https://trends.google.com/trends/explore?geo=IN&amp;q=skincare" TargetMode="External"/><Relationship Id="rId2" Type="http://schemas.openxmlformats.org/officeDocument/2006/relationships/hyperlink" Target="https://www.data.gov.in/" TargetMode="External"/><Relationship Id="rId3" Type="http://schemas.openxmlformats.org/officeDocument/2006/relationships/hyperlink" Target="https://esankhyiki.mospi.gov.in/" TargetMode="External"/><Relationship Id="rId4" Type="http://schemas.openxmlformats.org/officeDocument/2006/relationships/hyperlink" Target="https://comtradeapi.un.org/" TargetMode="External"/><Relationship Id="rId5" Type="http://schemas.openxmlformats.org/officeDocument/2006/relationships/hyperlink" Target="https://api.worldbank.org/v2/country/IND/indicator/FP.CPI.TOTL.ZG?format=json" TargetMode="External"/><Relationship Id="rId6" Type="http://schemas.openxmlformats.org/officeDocument/2006/relationships/hyperlink" Target="https://amazon-reviews-2023.github.io/" TargetMode="External"/><Relationship Id="rId7" Type="http://schemas.openxmlformats.org/officeDocument/2006/relationships/hyperlink" Target="https://world.openbeautyfacts.org/data" TargetMode="External"/><Relationship Id="rId8" Type="http://schemas.openxmlformats.org/officeDocument/2006/relationships/hyperlink" Target="https://www.facebook.com/ads/library/" TargetMode="External"/></Relationships>
</file>

<file path=docProps/app.xml><?xml version="1.0" encoding="utf-8"?>
<Properties xmlns="http://schemas.openxmlformats.org/officeDocument/2006/extended-properties" xmlns:vt="http://schemas.openxmlformats.org/officeDocument/2006/docPropsVTypes">
  <Application>Beauty &amp; Wellness Demand Planner</Application>
</Properties>
</file>

<file path=docProps/core.xml><?xml version="1.0" encoding="utf-8"?>
<cp:coreProperties xmlns:cp="http://schemas.openxmlformats.org/package/2006/metadata/core-properties" xmlns:dc="http://purl.org/dc/elements/1.1/" xmlns:dcterms="http://purl.org/dc/terms/" xmlns:xsi="http://www.w3.org/2001/XMLSchema-instance">
  <dc:title>Beauty &amp; Wellness Demand Planner - Week 2 Strategy</dc:title>
  <dc:creator>Beauty &amp; Wellness Data Planning Application</dc:creator>
</cp:coreProperties>
</file>