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Predictive Modeling Strategy</w:t>
      </w:r>
    </w:p>
    <w:p>
      <w:r>
        <w:t>Beauty &amp; wellness customer return prediction | Reproducible Python analysis</w:t>
      </w:r>
    </w:p>
    <w:p>
      <w:pPr>
        <w:pStyle w:val="Heading1"/>
      </w:pPr>
      <w:r>
        <w:t>Executive summary</w:t>
      </w:r>
    </w:p>
    <w:p>
      <w:r>
        <w:t>This run uses a seeded synthetic dataset, not company/customer records.</w:t>
      </w:r>
    </w:p>
    <w:p>
      <w:r>
        <w:t>The business target is whether a customer returns within 60 days of the snapshot. The selected candidate is Logistic regression, chosen by mean five-fold training ROC-AUC. Its held-out ROC-AUC is 0.690, average precision is 0.770, and thresholded recall/precision are 0.965/0.650.</w:t>
      </w:r>
    </w:p>
    <w:p>
      <w:pPr>
        <w:pStyle w:val="Heading1"/>
      </w:pPr>
      <w:r>
        <w:t>Business problem and target</w:t>
      </w:r>
    </w:p>
    <w:p>
      <w:r>
        <w:t>A salon, spa, skincare clinic, or wellness studio can use a return-risk score to prioritize timely, relevant follow-up. The prediction unit is one customer at a defined snapshot. The target is returned_within_60d (1 if the customer made a subsequent visit within 60 days, otherwise 0). This is a supervised binary-classification task, not a causal estimate of whether a promotion will change behavior.</w:t>
      </w:r>
    </w:p>
    <w:p>
      <w:r>
        <w:t>Features in this worked example are visits in the last 90 days, average ticket in USD, days since the last visit, membership status, share of visits using a discount, satisfaction score (1–5), and service category. Identifiers and post-snapshot data must not be model features.</w:t>
      </w:r>
    </w:p>
    <w:p>
      <w:pPr>
        <w:pStyle w:val="Heading1"/>
      </w:pPr>
      <w:r>
        <w:t>Data and reproducibility</w:t>
      </w:r>
    </w:p>
    <w:p>
      <w:r>
        <w:t>The dataset contains 3,000 rows; the positive return rate is 61.6%. The split is stratified 2,250/750 (75% training / 25% held-out test, random seed 42). Model selection and threshold tuning use training data only; the test set is used once for final evaluation.</w:t>
      </w:r>
    </w:p>
    <w:p>
      <w:r>
        <w:t>Synthetic-data limitation: generated relationships make this an executable worked example, not evidence of actual business performance. Replace the example with consented, properly time-aligned operational data before making customer-facing decisions.</w:t>
      </w:r>
    </w:p>
    <w:p>
      <w:pPr>
        <w:pStyle w:val="Heading1"/>
      </w:pPr>
      <w:r>
        <w:t>Candidate algorithms and rationale</w:t>
      </w:r>
    </w:p>
    <w:p>
      <w:pPr>
        <w:pStyle w:val="Heading2"/>
      </w:pPr>
      <w:r>
        <w:t>1. Logistic regression (interpretable baseline)</w:t>
      </w:r>
    </w:p>
    <w:p>
      <w:r>
        <w:t>A regularized logistic classifier provides a transparent probability baseline. Numeric variables are standardized and categorical variables one-hot encoded in a leakage-safe pipeline. Class weighting addresses unequal class frequencies during fitting. Coefficient direction can describe associations, but it is not causal and can be unstable when features are correlated.</w:t>
      </w:r>
    </w:p>
    <w:p>
      <w:pPr>
        <w:pStyle w:val="Heading2"/>
      </w:pPr>
      <w:r>
        <w:t>2. Random forest (nonlinear benchmark)</w:t>
      </w:r>
    </w:p>
    <w:p>
      <w:r>
        <w:t>A 300-tree random forest can capture nonlinear effects and feature interactions, such as recency having a different impact for members. The minimum leaf size of eight constrains complexity; balanced subsampling supports the minority class. It is less directly interpretable and may need probability calibration for operational use.</w:t>
      </w:r>
    </w:p>
    <w:p>
      <w:r>
        <w:t>Both candidates use identical stratified folds, hold-out rows, and predictor columns. The candidate with the larger mean five-fold training ROC-AUC is selected automatically; a simple baseline is retained for comparison.</w:t>
      </w:r>
    </w:p>
    <w:p>
      <w:pPr>
        <w:pStyle w:val="Heading1"/>
      </w:pPr>
      <w:r>
        <w:t>Validation and measured results</w:t>
      </w:r>
    </w:p>
    <w:p>
      <w:r>
        <w:t>Five-fold StratifiedKFold estimates training ROC-AUC and its standard deviation. Out-of-fold training probabilities select an F1-maximizing threshold from 0.10–0.80; the final test set is not used to tune it. The held-out report includes ROC-AUC, average precision (PR-AUC), precision, recall, F1, accuracy, specificity, and Brier score. ROC-AUC measures ranking; PR-AUC emphasizes positive-class retrieval; Brier score measures probability error (lower is better).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Candidate</w:t>
            </w:r>
          </w:p>
        </w:tc>
        <w:tc>
          <w:tcPr>
            <w:tcW w:type="dxa" w:w="2160"/>
          </w:tcPr>
          <w:p>
            <w:r>
              <w:t>5-fold ROC-AUC (mean ± SD)</w:t>
            </w:r>
          </w:p>
        </w:tc>
        <w:tc>
          <w:tcPr>
            <w:tcW w:type="dxa" w:w="2160"/>
          </w:tcPr>
          <w:p>
            <w:r>
              <w:t>Test ROC-AUC</w:t>
            </w:r>
          </w:p>
        </w:tc>
        <w:tc>
          <w:tcPr>
            <w:tcW w:type="dxa" w:w="2160"/>
          </w:tcPr>
          <w:p>
            <w:r>
              <w:t>Test PR-AUC</w:t>
            </w:r>
          </w:p>
        </w:tc>
      </w:tr>
      <w:tr>
        <w:tc>
          <w:tcPr>
            <w:tcW w:type="dxa" w:w="2160"/>
          </w:tcPr>
          <w:p>
            <w:r>
              <w:t>Logistic regression</w:t>
            </w:r>
          </w:p>
        </w:tc>
        <w:tc>
          <w:tcPr>
            <w:tcW w:type="dxa" w:w="2160"/>
          </w:tcPr>
          <w:p>
            <w:r>
              <w:t>0.703 ± 0.039</w:t>
            </w:r>
          </w:p>
        </w:tc>
        <w:tc>
          <w:tcPr>
            <w:tcW w:type="dxa" w:w="2160"/>
          </w:tcPr>
          <w:p>
            <w:r>
              <w:t>0.690</w:t>
            </w:r>
          </w:p>
        </w:tc>
        <w:tc>
          <w:tcPr>
            <w:tcW w:type="dxa" w:w="2160"/>
          </w:tcPr>
          <w:p>
            <w:r>
              <w:t>0.770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0.685 ± 0.032</w:t>
            </w:r>
          </w:p>
        </w:tc>
        <w:tc>
          <w:tcPr>
            <w:tcW w:type="dxa" w:w="2160"/>
          </w:tcPr>
          <w:p>
            <w:r>
              <w:t>0.668</w:t>
            </w:r>
          </w:p>
        </w:tc>
        <w:tc>
          <w:tcPr>
            <w:tcW w:type="dxa" w:w="2160"/>
          </w:tcPr>
          <w:p>
            <w:r>
              <w:t>0.745</w:t>
            </w:r>
          </w:p>
        </w:tc>
      </w:tr>
    </w:tbl>
    <w:p>
      <w:r>
        <w:t>Selected model: Logistic regression. Training-only selected threshold: 0.27 (OOF F1=0.773). On the held-out set, precision=0.650, recall=0.965, F1=0.777, specificity=0.167, and Brier=0.219. Confusion counts: TN=48, FP=240, FN=16, TP=446.</w:t>
      </w:r>
    </w:p>
    <w:p>
      <w:r>
        <w:t>Operational reading: at this return-class F1 threshold, the model identified 446 of 462 actual returners, but correctly identified only 48 of 288 non-returners. It labels 686 of 750 test customers as returners. Therefore this threshold is not a ready-made retention-campaign rule. For a re-engagement pilot, rank by lower predicted return probability and choose a contact cutoff using campaign capacity and economics; validate incremental impact with a randomized control group.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Business interpretation and action</w:t>
      </w:r>
    </w:p>
    <w:p>
      <w:r>
        <w:t>Use scores to rank customers for human-reviewed outreach, for example a service reminder or a relevant rebooking prompt. Start with a small pilot and compare incremental rebooking and margin against a randomized control group: predictive risk alone does not show that an offer works. Choose the operating threshold using the relative cost of missed rebookings, unnecessary contacts, and discount margin; the reported F1 threshold is only a neutral worked-example choice.</w:t>
      </w:r>
    </w:p>
    <w:p>
      <w:r>
        <w:t>Permutation importance on held-out data ranks features by the drop in ROC-AUC when shuffled. The leading example signals are days_since_last_visit (0.085), visits_last_90d (0.032), membership (0.027), satisfaction_score (0.018), service_category (0.010). They indicate predictive association, not causal drivers.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Robustness, pitfalls, and mitigations</w:t>
      </w:r>
    </w:p>
    <w:p>
      <w:pPr>
        <w:pStyle w:val="ListBullet"/>
      </w:pPr>
      <w:r>
        <w:t>Temporal leakage: construct every feature strictly before the prediction snapshot; use a later time period for a final deployment-style validation.</w:t>
      </w:r>
    </w:p>
    <w:p>
      <w:pPr>
        <w:pStyle w:val="ListBullet"/>
      </w:pPr>
      <w:r>
        <w:t>Repeated customers: split by customer (and preferably time) when multiple snapshots per person exist so the same person cannot appear in train and test.</w:t>
      </w:r>
    </w:p>
    <w:p>
      <w:pPr>
        <w:pStyle w:val="ListBullet"/>
      </w:pPr>
      <w:r>
        <w:t>Overfitting: compare training cross-validation with untouched test results, constrain tree leaf size, and tune only within training folds.</w:t>
      </w:r>
    </w:p>
    <w:p>
      <w:pPr>
        <w:pStyle w:val="ListBullet"/>
      </w:pPr>
      <w:r>
        <w:t>Class imbalance and threshold drift: report PR-AUC and recall/precision, track prevalence, and re-select the threshold using business costs rather than defaulting to 0.50.</w:t>
      </w:r>
    </w:p>
    <w:p>
      <w:pPr>
        <w:pStyle w:val="ListBullet"/>
      </w:pPr>
      <w:r>
        <w:t>Missingness and inconsistent logging: report data-quality checks, define missing-value treatment from training data, and monitor input distributions.</w:t>
      </w:r>
    </w:p>
    <w:p>
      <w:pPr>
        <w:pStyle w:val="ListBullet"/>
      </w:pPr>
      <w:r>
        <w:t>Calibration and subgroup performance: check reliability/calibration and precision/recall by relevant service and membership groups before rollout; investigate gaps and avoid discriminatory targeting.</w:t>
      </w:r>
    </w:p>
    <w:p>
      <w:pPr>
        <w:pStyle w:val="ListBullet"/>
      </w:pPr>
      <w:r>
        <w:t>Concept drift and intervention feedback: monitor performance over time; promotions can change the behavior being predicted, so evaluate campaigns with controlled experiments.</w:t>
      </w:r>
    </w:p>
    <w:p>
      <w:pPr>
        <w:pStyle w:val="Heading1"/>
      </w:pPr>
      <w:r>
        <w:t>Implementation and next steps</w:t>
      </w:r>
    </w:p>
    <w:p>
      <w:r>
        <w:t>The companion Python script writes the metrics JSON, row-level test predictions, permutation importances, plots, fitted model bundle, and this report. For real deployment, confirm the event window and feature availability, establish a time-based backtest, calibrate probabilities, review privacy/consent and fairness requirements, and monitor drift.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