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135"/>
        <w:gridCol w:w="2001"/>
        <w:gridCol w:w="2135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(N=40074)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(N=63725)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9,751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16,213 (25.4%)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33,612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47,512 (74.6%)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23,868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35,478 (55.7%)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16,206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12,041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28,247 (44.3%)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36,680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21,660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58,340 (91.5%)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5,385 (8.5%)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22,949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11,592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34,541 (54.2%)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17,125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12,059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29,184 (45.8%)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4,581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7,247 (11.4%)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7,977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21,053 (33.0%)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9,270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5,469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14,739 (23.1%)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8,153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4,860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13,013 (20.4%)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7,673 (12.0%)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(16.5)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19,155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9,985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29,140 (45.7%)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20,919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13,666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34,585 (54.3%)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9,367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7,742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17,109 (26.8%)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46,616 (73.2%)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16,835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5,385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22,220 (34.9%)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13,778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8,657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22,435 (35.2%)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6,095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13,436 (21.1%)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5,634 (8.8%)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 (3.72)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(3.47)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15,972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5,171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21,143 (33.2%)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15,356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9,708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25,064 (39.3%)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7,421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7,394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14,815 (23.2%)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 (4.2%)</w:t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(2.99)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(12.2)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 [-0.942,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[-0.942, 754]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37,502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18,810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56,312 (88.4%)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4,841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7,413 (11.6%)</w:t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57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56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57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57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  <w:tr>
        <w:trPr>
          <w:trHeight w:val="571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40,074 (100%)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(100%)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63,725 (100%)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2022-12-07T16:47:36Z</dcterms:modified>
  <cp:category/>
</cp:coreProperties>
</file>