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pPr>
      <w:r>
        <w:rPr>
          <w:rFonts w:ascii="Courier New" w:cs="Courier New" w:eastAsia="Courier New" w:hAnsi="Courier New"/>
          <w:b/>
          <w:bCs/>
          <w:color w:val="1A1A2E"/>
          <w:sz w:val="56"/>
          <w:szCs w:val="56"/>
        </w:rPr>
        <w:t xml:space="preserve">DSRPT TERMINAL</w:t>
      </w:r>
    </w:p>
    <w:p>
      <w:pPr>
        <w:spacing w:after="80"/>
      </w:pPr>
      <w:r>
        <w:rPr>
          <w:color w:val="6B7494"/>
          <w:sz w:val="26"/>
          <w:szCs w:val="26"/>
        </w:rPr>
        <w:t xml:space="preserve">Claude Code Briefing — Complete Architecture Context</w:t>
      </w:r>
    </w:p>
    <w:p>
      <w:pPr>
        <w:spacing w:after="400"/>
      </w:pPr>
      <w:r>
        <w:rPr>
          <w:i/>
          <w:iCs/>
          <w:color w:val="6B7494"/>
          <w:sz w:val="20"/>
          <w:szCs w:val="20"/>
        </w:rPr>
        <w:t xml:space="preserve">Early warning for stablecoin LP stress  ·  Actionable lead time before losses materialize</w:t>
      </w:r>
    </w:p>
    <w:p>
      <w:pPr>
        <w:pBdr>
          <w:bottom w:val="single" w:color="CBD5E0" w:sz="6"/>
        </w:pBdr>
        <w:spacing w:after="160" w:before="160"/>
      </w:pPr>
    </w:p>
    <w:p>
      <w:pPr>
        <w:spacing w:before="320"/>
      </w:pPr>
    </w:p>
    <w:p>
      <w:pPr>
        <w:pStyle w:val="Heading1"/>
      </w:pPr>
      <w:r>
        <w:rPr>
          <w:b/>
          <w:bCs/>
          <w:color w:val="1A1A2E"/>
          <w:sz w:val="32"/>
          <w:szCs w:val="32"/>
        </w:rPr>
        <w:t xml:space="preserve">1. What This System Is</w:t>
      </w:r>
    </w:p>
    <w:p>
      <w:pPr>
        <w:spacing w:after="120"/>
      </w:pPr>
      <w:r>
        <w:rPr>
          <w:color w:val="1A1A2E"/>
          <w:sz w:val="20"/>
          <w:szCs w:val="20"/>
        </w:rPr>
        <w:t xml:space="preserve">Dsrpt Terminal is an early warning system for stablecoin depeg risk, targeting crypto LPs and traders. It generates actionable lead time before stablecoin stress events fully resolve — distinguishing recoverable shocks from terminal collapses before the market fully prices it.</w:t>
      </w:r>
    </w:p>
    <w:p>
      <w:pPr>
        <w:spacing w:after="120"/>
      </w:pPr>
    </w:p>
    <w:tbl>
      <w:tblPr>
        <w:tblW w:type="dxa" w:w="9360"/>
        <w:tblBorders>
          <w:top w:val="single" w:color="CBD5E0" w:sz="4"/>
          <w:left w:val="single" w:color="CBD5E0" w:sz="4"/>
          <w:bottom w:val="single" w:color="CBD5E0" w:sz="4"/>
          <w:right w:val="single" w:color="CBD5E0" w:sz="4"/>
          <w:insideH w:val="single" w:color="auto" w:sz="4"/>
          <w:insideV w:val="single" w:color="auto" w:sz="4"/>
        </w:tblBorders>
      </w:tblPr>
      <w:tblGrid>
        <w:gridCol w:w="100"/>
        <w:gridCol w:w="100"/>
      </w:tblGrid>
      <w:tr>
        <w:tc>
          <w:tcPr>
            <w:tcW w:type="dxa" w:w="2800"/>
            <w:shd w:color="1A1A2E" w:val="solid"/>
          </w:tcPr>
          <w:p>
            <w:r>
              <w:rPr>
                <w:b/>
                <w:bCs/>
                <w:color w:val="FFFFFF"/>
                <w:sz w:val="19"/>
                <w:szCs w:val="19"/>
              </w:rPr>
              <w:t xml:space="preserve">Result</w:t>
            </w:r>
          </w:p>
        </w:tc>
        <w:tc>
          <w:tcPr>
            <w:tcW w:type="dxa" w:w="6560"/>
            <w:shd w:color="1A1A2E" w:val="solid"/>
          </w:tcPr>
          <w:p>
            <w:r>
              <w:rPr>
                <w:b/>
                <w:bCs/>
                <w:color w:val="FFFFFF"/>
                <w:sz w:val="19"/>
                <w:szCs w:val="19"/>
              </w:rPr>
              <w:t xml:space="preserve">Detail</w:t>
            </w:r>
          </w:p>
        </w:tc>
      </w:tr>
      <w:tr>
        <w:tc>
          <w:tcPr>
            <w:tcW w:type="dxa" w:w="2800"/>
          </w:tcPr>
          <w:p>
            <w:r>
              <w:rPr>
                <w:b w:val="false"/>
                <w:bCs w:val="false"/>
                <w:color w:val="1A1A2E"/>
                <w:sz w:val="19"/>
                <w:szCs w:val="19"/>
              </w:rPr>
              <w:t xml:space="preserve">UST lead time</w:t>
            </w:r>
          </w:p>
        </w:tc>
        <w:tc>
          <w:tcPr>
            <w:tcW w:type="dxa" w:w="6560"/>
          </w:tcPr>
          <w:p>
            <w:r>
              <w:rPr>
                <w:b w:val="false"/>
                <w:bCs w:val="false"/>
                <w:color w:val="1A1A2E"/>
                <w:sz w:val="19"/>
                <w:szCs w:val="19"/>
              </w:rPr>
              <w:t xml:space="preserve">44 hours before terminal price collapse (May 2022)</w:t>
            </w:r>
          </w:p>
        </w:tc>
      </w:tr>
      <w:tr>
        <w:tc>
          <w:tcPr>
            <w:tcW w:type="dxa" w:w="2800"/>
          </w:tcPr>
          <w:p>
            <w:r>
              <w:rPr>
                <w:b w:val="false"/>
                <w:bCs w:val="false"/>
                <w:color w:val="1A1A2E"/>
                <w:sz w:val="19"/>
                <w:szCs w:val="19"/>
              </w:rPr>
              <w:t xml:space="preserve">USDC lead time</w:t>
            </w:r>
          </w:p>
        </w:tc>
        <w:tc>
          <w:tcPr>
            <w:tcW w:type="dxa" w:w="6560"/>
          </w:tcPr>
          <w:p>
            <w:r>
              <w:rPr>
                <w:b w:val="false"/>
                <w:bCs w:val="false"/>
                <w:color w:val="1A1A2E"/>
                <w:sz w:val="19"/>
                <w:szCs w:val="19"/>
              </w:rPr>
              <w:t xml:space="preserve">9 hours before SVB shock trough (March 2023)</w:t>
            </w:r>
          </w:p>
        </w:tc>
      </w:tr>
      <w:tr>
        <w:tc>
          <w:tcPr>
            <w:tcW w:type="dxa" w:w="2800"/>
          </w:tcPr>
          <w:p>
            <w:r>
              <w:rPr>
                <w:b w:val="false"/>
                <w:bCs w:val="false"/>
                <w:color w:val="1A1A2E"/>
                <w:sz w:val="19"/>
                <w:szCs w:val="19"/>
              </w:rPr>
              <w:t xml:space="preserve">UST classification</w:t>
            </w:r>
          </w:p>
        </w:tc>
        <w:tc>
          <w:tcPr>
            <w:tcW w:type="dxa" w:w="6560"/>
          </w:tcPr>
          <w:p>
            <w:r>
              <w:rPr>
                <w:b w:val="false"/>
                <w:bCs w:val="false"/>
                <w:color w:val="1A1A2E"/>
                <w:sz w:val="19"/>
                <w:szCs w:val="19"/>
              </w:rPr>
              <w:t xml:space="preserve">reflexive_collapse — correctly halted at $0.984</w:t>
            </w:r>
          </w:p>
        </w:tc>
      </w:tr>
      <w:tr>
        <w:tc>
          <w:tcPr>
            <w:tcW w:type="dxa" w:w="2800"/>
          </w:tcPr>
          <w:p>
            <w:r>
              <w:rPr>
                <w:b w:val="false"/>
                <w:bCs w:val="false"/>
                <w:color w:val="1A1A2E"/>
                <w:sz w:val="19"/>
                <w:szCs w:val="19"/>
              </w:rPr>
              <w:t xml:space="preserve">USDC classification</w:t>
            </w:r>
          </w:p>
        </w:tc>
        <w:tc>
          <w:tcPr>
            <w:tcW w:type="dxa" w:w="6560"/>
          </w:tcPr>
          <w:p>
            <w:r>
              <w:rPr>
                <w:b w:val="false"/>
                <w:bCs w:val="false"/>
                <w:color w:val="1A1A2E"/>
                <w:sz w:val="19"/>
                <w:szCs w:val="19"/>
              </w:rPr>
              <w:t xml:space="preserve">collateral_shock — correctly held through recovery</w:t>
            </w:r>
          </w:p>
        </w:tc>
      </w:tr>
      <w:tr>
        <w:tc>
          <w:tcPr>
            <w:tcW w:type="dxa" w:w="2800"/>
          </w:tcPr>
          <w:p>
            <w:r>
              <w:rPr>
                <w:b w:val="false"/>
                <w:bCs w:val="false"/>
                <w:color w:val="1A1A2E"/>
                <w:sz w:val="19"/>
                <w:szCs w:val="19"/>
              </w:rPr>
              <w:t xml:space="preserve">Validation</w:t>
            </w:r>
          </w:p>
        </w:tc>
        <w:tc>
          <w:tcPr>
            <w:tcW w:type="dxa" w:w="6560"/>
          </w:tcPr>
          <w:p>
            <w:r>
              <w:rPr>
                <w:b w:val="false"/>
                <w:bCs w:val="false"/>
                <w:color w:val="1A1A2E"/>
                <w:sz w:val="19"/>
                <w:szCs w:val="19"/>
              </w:rPr>
              <w:t xml:space="preserve">12/12 sensitivity sweeps passed on frozen benchmark</w:t>
            </w:r>
          </w:p>
        </w:tc>
      </w:tr>
    </w:tbl>
    <w:p>
      <w:pPr>
        <w:spacing w:after="200"/>
      </w:pPr>
    </w:p>
    <w:p>
      <w:pPr>
        <w:pBdr>
          <w:left w:val="single" w:color="00D4FF" w:sz="20"/>
        </w:pBdr>
        <w:shd w:color="FFFBF0" w:val="solid"/>
        <w:spacing w:after="120" w:before="120"/>
        <w:ind w:left="360"/>
      </w:pPr>
      <w:r>
        <w:rPr>
          <w:b/>
          <w:bCs/>
          <w:color w:val="00D4FF"/>
          <w:sz w:val="20"/>
          <w:szCs w:val="20"/>
        </w:rPr>
        <w:t xml:space="preserve">PITCH:  </w:t>
      </w:r>
      <w:r>
        <w:rPr>
          <w:color w:val="1A1A2E"/>
          <w:sz w:val="20"/>
          <w:szCs w:val="20"/>
        </w:rPr>
        <w:t xml:space="preserve">Dsrpt gives stablecoin LPs early warning when a depeg is becoming dangerous — and distinguishes between recoverable shocks and terminal collapse before the market fully prices it.</w:t>
      </w:r>
    </w:p>
    <w:p>
      <w:pPr>
        <w:pBdr>
          <w:bottom w:val="single" w:color="CBD5E0" w:sz="6"/>
        </w:pBdr>
        <w:spacing w:after="160" w:before="160"/>
      </w:pPr>
    </w:p>
    <w:p>
      <w:pPr>
        <w:pStyle w:val="Heading1"/>
      </w:pPr>
      <w:r>
        <w:rPr>
          <w:b/>
          <w:bCs/>
          <w:color w:val="1A1A2E"/>
          <w:sz w:val="32"/>
          <w:szCs w:val="32"/>
        </w:rPr>
        <w:t xml:space="preserve">2. Codebase Structure</w:t>
      </w:r>
    </w:p>
    <w:p>
      <w:pPr>
        <w:shd w:color="EDF2F7" w:val="solid"/>
        <w:spacing w:after="60" w:before="60"/>
        <w:ind w:left="360"/>
      </w:pPr>
      <w:r>
        <w:rPr>
          <w:rFonts w:ascii="Courier New" w:cs="Courier New" w:eastAsia="Courier New" w:hAnsi="Courier New"/>
          <w:color w:val="1A1A2E"/>
          <w:sz w:val="17"/>
          <w:szCs w:val="17"/>
        </w:rPr>
        <w:t xml:space="preserve">dsrpt-phase1/</w:t>
      </w:r>
    </w:p>
    <w:p>
      <w:pPr>
        <w:shd w:color="EDF2F7" w:val="solid"/>
        <w:spacing w:after="60" w:before="60"/>
        <w:ind w:left="360"/>
      </w:pPr>
      <w:r>
        <w:rPr>
          <w:rFonts w:ascii="Courier New" w:cs="Courier New" w:eastAsia="Courier New" w:hAnsi="Courier New"/>
          <w:color w:val="1A1A2E"/>
          <w:sz w:val="17"/>
          <w:szCs w:val="17"/>
        </w:rPr>
        <w:t xml:space="preserve">├── src/</w:t>
      </w:r>
    </w:p>
    <w:p>
      <w:pPr>
        <w:shd w:color="EDF2F7" w:val="solid"/>
        <w:spacing w:after="60" w:before="60"/>
        <w:ind w:left="360"/>
      </w:pPr>
      <w:r>
        <w:rPr>
          <w:rFonts w:ascii="Courier New" w:cs="Courier New" w:eastAsia="Courier New" w:hAnsi="Courier New"/>
          <w:color w:val="1A1A2E"/>
          <w:sz w:val="17"/>
          <w:szCs w:val="17"/>
        </w:rPr>
        <w:t xml:space="preserve">│   ├── config.py                    # Events, attachment levels, λ</w:t>
      </w:r>
    </w:p>
    <w:p>
      <w:pPr>
        <w:shd w:color="EDF2F7" w:val="solid"/>
        <w:spacing w:after="60" w:before="60"/>
        <w:ind w:left="360"/>
      </w:pPr>
      <w:r>
        <w:rPr>
          <w:rFonts w:ascii="Courier New" w:cs="Courier New" w:eastAsia="Courier New" w:hAnsi="Courier New"/>
          <w:color w:val="1A1A2E"/>
          <w:sz w:val="17"/>
          <w:szCs w:val="17"/>
        </w:rPr>
        <w:t xml:space="preserve">│   ├── pipeline/rl_surface.py        # Realized loss surface construction</w:t>
      </w:r>
    </w:p>
    <w:p>
      <w:pPr>
        <w:shd w:color="EDF2F7" w:val="solid"/>
        <w:spacing w:after="60" w:before="60"/>
        <w:ind w:left="360"/>
      </w:pPr>
      <w:r>
        <w:rPr>
          <w:rFonts w:ascii="Courier New" w:cs="Courier New" w:eastAsia="Courier New" w:hAnsi="Courier New"/>
          <w:color w:val="1A1A2E"/>
          <w:sz w:val="17"/>
          <w:szCs w:val="17"/>
        </w:rPr>
        <w:t xml:space="preserve">│   ├── regime/classifier_v2.py       # CURRENT — trajectory-aware classifier</w:t>
      </w:r>
    </w:p>
    <w:p>
      <w:pPr>
        <w:shd w:color="EDF2F7" w:val="solid"/>
        <w:spacing w:after="60" w:before="60"/>
        <w:ind w:left="360"/>
      </w:pPr>
      <w:r>
        <w:rPr>
          <w:rFonts w:ascii="Courier New" w:cs="Courier New" w:eastAsia="Courier New" w:hAnsi="Courier New"/>
          <w:color w:val="1A1A2E"/>
          <w:sz w:val="17"/>
          <w:szCs w:val="17"/>
        </w:rPr>
        <w:t xml:space="preserve">│   ├── scoring/score.py              # Tail-weighted scoring function</w:t>
      </w:r>
    </w:p>
    <w:p>
      <w:pPr>
        <w:shd w:color="EDF2F7" w:val="solid"/>
        <w:spacing w:after="60" w:before="60"/>
        <w:ind w:left="360"/>
      </w:pPr>
      <w:r>
        <w:rPr>
          <w:rFonts w:ascii="Courier New" w:cs="Courier New" w:eastAsia="Courier New" w:hAnsi="Courier New"/>
          <w:color w:val="1A1A2E"/>
          <w:sz w:val="17"/>
          <w:szCs w:val="17"/>
        </w:rPr>
        <w:t xml:space="preserve">│   ├── scoring/curve_families.py     # Parametric curve families A-D</w:t>
      </w:r>
    </w:p>
    <w:p>
      <w:pPr>
        <w:shd w:color="EDF2F7" w:val="solid"/>
        <w:spacing w:after="60" w:before="60"/>
        <w:ind w:left="360"/>
      </w:pPr>
      <w:r>
        <w:rPr>
          <w:rFonts w:ascii="Courier New" w:cs="Courier New" w:eastAsia="Courier New" w:hAnsi="Courier New"/>
          <w:color w:val="1A1A2E"/>
          <w:sz w:val="17"/>
          <w:szCs w:val="17"/>
        </w:rPr>
        <w:t xml:space="preserve">│   └── scoring/soft_prior.py         # Soft prior selection engine</w:t>
      </w:r>
    </w:p>
    <w:p>
      <w:pPr>
        <w:shd w:color="EDF2F7" w:val="solid"/>
        <w:spacing w:after="60" w:before="60"/>
        <w:ind w:left="360"/>
      </w:pPr>
      <w:r>
        <w:rPr>
          <w:rFonts w:ascii="Courier New" w:cs="Courier New" w:eastAsia="Courier New" w:hAnsi="Courier New"/>
          <w:color w:val="1A1A2E"/>
          <w:sz w:val="17"/>
          <w:szCs w:val="17"/>
        </w:rPr>
        <w:t xml:space="preserve">├── terminal/</w:t>
      </w:r>
    </w:p>
    <w:p>
      <w:pPr>
        <w:shd w:color="EDF2F7" w:val="solid"/>
        <w:spacing w:after="60" w:before="60"/>
        <w:ind w:left="360"/>
      </w:pPr>
      <w:r>
        <w:rPr>
          <w:rFonts w:ascii="Courier New" w:cs="Courier New" w:eastAsia="Courier New" w:hAnsi="Courier New"/>
          <w:color w:val="1A1A2E"/>
          <w:sz w:val="17"/>
          <w:szCs w:val="17"/>
        </w:rPr>
        <w:t xml:space="preserve">│   ├── runner.py                     # LIVE POLLING LOOP — entry point</w:t>
      </w:r>
    </w:p>
    <w:p>
      <w:pPr>
        <w:shd w:color="EDF2F7" w:val="solid"/>
        <w:spacing w:after="60" w:before="60"/>
        <w:ind w:left="360"/>
      </w:pPr>
      <w:r>
        <w:rPr>
          <w:rFonts w:ascii="Courier New" w:cs="Courier New" w:eastAsia="Courier New" w:hAnsi="Courier New"/>
          <w:color w:val="1A1A2E"/>
          <w:sz w:val="17"/>
          <w:szCs w:val="17"/>
        </w:rPr>
        <w:t xml:space="preserve">│   ├── replay.py                     # Historical replay engine</w:t>
      </w:r>
    </w:p>
    <w:p>
      <w:pPr>
        <w:shd w:color="EDF2F7" w:val="solid"/>
        <w:spacing w:after="60" w:before="60"/>
        <w:ind w:left="360"/>
      </w:pPr>
      <w:r>
        <w:rPr>
          <w:rFonts w:ascii="Courier New" w:cs="Courier New" w:eastAsia="Courier New" w:hAnsi="Courier New"/>
          <w:color w:val="1A1A2E"/>
          <w:sz w:val="17"/>
          <w:szCs w:val="17"/>
        </w:rPr>
        <w:t xml:space="preserve">│   └── src/</w:t>
      </w:r>
    </w:p>
    <w:p>
      <w:pPr>
        <w:shd w:color="EDF2F7" w:val="solid"/>
        <w:spacing w:after="60" w:before="60"/>
        <w:ind w:left="360"/>
      </w:pPr>
      <w:r>
        <w:rPr>
          <w:rFonts w:ascii="Courier New" w:cs="Courier New" w:eastAsia="Courier New" w:hAnsi="Courier New"/>
          <w:color w:val="1A1A2E"/>
          <w:sz w:val="17"/>
          <w:szCs w:val="17"/>
        </w:rPr>
        <w:t xml:space="preserve">│       ├── window_manager.py         # Rolling buffer, no-lookahead</w:t>
      </w:r>
    </w:p>
    <w:p>
      <w:pPr>
        <w:shd w:color="EDF2F7" w:val="solid"/>
        <w:spacing w:after="60" w:before="60"/>
        <w:ind w:left="360"/>
      </w:pPr>
      <w:r>
        <w:rPr>
          <w:rFonts w:ascii="Courier New" w:cs="Courier New" w:eastAsia="Courier New" w:hAnsi="Courier New"/>
          <w:color w:val="1A1A2E"/>
          <w:sz w:val="17"/>
          <w:szCs w:val="17"/>
        </w:rPr>
        <w:t xml:space="preserve">│       ├── feature_engine.py         # Features + confidence scoring</w:t>
      </w:r>
    </w:p>
    <w:p>
      <w:pPr>
        <w:shd w:color="EDF2F7" w:val="solid"/>
        <w:spacing w:after="60" w:before="60"/>
        <w:ind w:left="360"/>
      </w:pPr>
      <w:r>
        <w:rPr>
          <w:rFonts w:ascii="Courier New" w:cs="Courier New" w:eastAsia="Courier New" w:hAnsi="Courier New"/>
          <w:color w:val="1A1A2E"/>
          <w:sz w:val="17"/>
          <w:szCs w:val="17"/>
        </w:rPr>
        <w:t xml:space="preserve">│       ├── signal_engine.py          # Regime transition detection</w:t>
      </w:r>
    </w:p>
    <w:p>
      <w:pPr>
        <w:shd w:color="EDF2F7" w:val="solid"/>
        <w:spacing w:after="60" w:before="60"/>
        <w:ind w:left="360"/>
      </w:pPr>
      <w:r>
        <w:rPr>
          <w:rFonts w:ascii="Courier New" w:cs="Courier New" w:eastAsia="Courier New" w:hAnsi="Courier New"/>
          <w:color w:val="1A1A2E"/>
          <w:sz w:val="17"/>
          <w:szCs w:val="17"/>
        </w:rPr>
        <w:t xml:space="preserve">│       └── telegram_format.py        # Three-state alert formatter</w:t>
      </w:r>
    </w:p>
    <w:p>
      <w:pPr>
        <w:shd w:color="EDF2F7" w:val="solid"/>
        <w:spacing w:after="60" w:before="60"/>
        <w:ind w:left="360"/>
      </w:pPr>
      <w:r>
        <w:rPr>
          <w:rFonts w:ascii="Courier New" w:cs="Courier New" w:eastAsia="Courier New" w:hAnsi="Courier New"/>
          <w:color w:val="1A1A2E"/>
          <w:sz w:val="17"/>
          <w:szCs w:val="17"/>
        </w:rPr>
        <w:t xml:space="preserve">└── harness_v2_1.py                   # Frozen benchmark — do not modify</w:t>
      </w:r>
    </w:p>
    <w:p>
      <w:pPr>
        <w:spacing w:after="200"/>
      </w:pPr>
    </w:p>
    <w:p>
      <w:pPr>
        <w:pBdr>
          <w:bottom w:val="single" w:color="CBD5E0" w:sz="6"/>
        </w:pBdr>
        <w:spacing w:after="160" w:before="160"/>
      </w:pPr>
    </w:p>
    <w:p>
      <w:pPr>
        <w:pStyle w:val="Heading1"/>
      </w:pPr>
      <w:r>
        <w:rPr>
          <w:b/>
          <w:bCs/>
          <w:color w:val="1A1A2E"/>
          <w:sz w:val="32"/>
          <w:szCs w:val="32"/>
        </w:rPr>
        <w:t xml:space="preserve">3. Regime Classifier v2</w:t>
      </w:r>
    </w:p>
    <w:p>
      <w:pPr>
        <w:spacing w:after="120"/>
      </w:pPr>
      <w:r>
        <w:rPr>
          <w:b/>
          <w:bCs/>
          <w:color w:val="1A1A2E"/>
          <w:sz w:val="20"/>
          <w:szCs w:val="20"/>
        </w:rPr>
        <w:t xml:space="preserve">File: src/regime/classifier_v2.py</w:t>
      </w:r>
    </w:p>
    <w:p>
      <w:pPr>
        <w:spacing w:after="120"/>
      </w:pPr>
      <w:r>
        <w:rPr>
          <w:color w:val="1A1A2E"/>
          <w:sz w:val="20"/>
          <w:szCs w:val="20"/>
        </w:rPr>
        <w:t xml:space="preserve">Classifies depeg events into five failure modes using trajectory-aware features. The key upgrade from v1: rules fire on trajectory geometry, not endpoint state.</w:t>
      </w:r>
    </w:p>
    <w:p>
      <w:pPr>
        <w:spacing w:after="120"/>
      </w:pPr>
    </w:p>
    <w:p>
      <w:pPr>
        <w:pStyle w:val="Heading2"/>
      </w:pPr>
      <w:r>
        <w:rPr>
          <w:b/>
          <w:bCs/>
          <w:color w:val="1A1A2E"/>
          <w:sz w:val="26"/>
          <w:szCs w:val="26"/>
        </w:rPr>
        <w:t xml:space="preserve">Five Regimes</w:t>
      </w:r>
    </w:p>
    <w:tbl>
      <w:tblPr>
        <w:tblW w:type="dxa" w:w="9360"/>
        <w:tblBorders>
          <w:top w:val="single" w:color="CBD5E0" w:sz="4"/>
          <w:left w:val="single" w:color="CBD5E0" w:sz="4"/>
          <w:bottom w:val="single" w:color="CBD5E0" w:sz="4"/>
          <w:right w:val="single" w:color="CBD5E0" w:sz="4"/>
          <w:insideH w:val="single" w:color="auto" w:sz="4"/>
          <w:insideV w:val="single" w:color="auto" w:sz="4"/>
        </w:tblBorders>
      </w:tblPr>
      <w:tblGrid>
        <w:gridCol w:w="100"/>
        <w:gridCol w:w="100"/>
      </w:tblGrid>
      <w:tr>
        <w:tc>
          <w:tcPr>
            <w:tcW w:type="dxa" w:w="2800"/>
            <w:shd w:color="1A1A2E" w:val="solid"/>
          </w:tcPr>
          <w:p>
            <w:r>
              <w:rPr>
                <w:b/>
                <w:bCs/>
                <w:color w:val="FFFFFF"/>
                <w:sz w:val="19"/>
                <w:szCs w:val="19"/>
              </w:rPr>
              <w:t xml:space="preserve">Regime</w:t>
            </w:r>
          </w:p>
        </w:tc>
        <w:tc>
          <w:tcPr>
            <w:tcW w:type="dxa" w:w="6560"/>
            <w:shd w:color="1A1A2E" w:val="solid"/>
          </w:tcPr>
          <w:p>
            <w:r>
              <w:rPr>
                <w:b/>
                <w:bCs/>
                <w:color w:val="FFFFFF"/>
                <w:sz w:val="19"/>
                <w:szCs w:val="19"/>
              </w:rPr>
              <w:t xml:space="preserve">Description</w:t>
            </w:r>
          </w:p>
        </w:tc>
      </w:tr>
      <w:tr>
        <w:tc>
          <w:tcPr>
            <w:tcW w:type="dxa" w:w="2800"/>
          </w:tcPr>
          <w:p>
            <w:r>
              <w:rPr>
                <w:b w:val="false"/>
                <w:bCs w:val="false"/>
                <w:color w:val="1A1A2E"/>
                <w:sz w:val="19"/>
                <w:szCs w:val="19"/>
              </w:rPr>
              <w:t xml:space="preserve">reflexive_collapse</w:t>
            </w:r>
          </w:p>
        </w:tc>
        <w:tc>
          <w:tcPr>
            <w:tcW w:type="dxa" w:w="6560"/>
          </w:tcPr>
          <w:p>
            <w:r>
              <w:rPr>
                <w:b w:val="false"/>
                <w:bCs w:val="false"/>
                <w:color w:val="1A1A2E"/>
                <w:sz w:val="19"/>
                <w:szCs w:val="19"/>
              </w:rPr>
              <w:t xml:space="preserve">Self-reinforcing spiral, no price floor. UST May 2022.</w:t>
            </w:r>
          </w:p>
        </w:tc>
      </w:tr>
      <w:tr>
        <w:tc>
          <w:tcPr>
            <w:tcW w:type="dxa" w:w="2800"/>
          </w:tcPr>
          <w:p>
            <w:r>
              <w:rPr>
                <w:b w:val="false"/>
                <w:bCs w:val="false"/>
                <w:color w:val="1A1A2E"/>
                <w:sz w:val="19"/>
                <w:szCs w:val="19"/>
              </w:rPr>
              <w:t xml:space="preserve">collateral_shock</w:t>
            </w:r>
          </w:p>
        </w:tc>
        <w:tc>
          <w:tcPr>
            <w:tcW w:type="dxa" w:w="6560"/>
          </w:tcPr>
          <w:p>
            <w:r>
              <w:rPr>
                <w:b w:val="false"/>
                <w:bCs w:val="false"/>
                <w:color w:val="1A1A2E"/>
                <w:sz w:val="19"/>
                <w:szCs w:val="19"/>
              </w:rPr>
              <w:t xml:space="preserve">Sharp reserve impairment, recovery possible. USDC March 2023.</w:t>
            </w:r>
          </w:p>
        </w:tc>
      </w:tr>
      <w:tr>
        <w:tc>
          <w:tcPr>
            <w:tcW w:type="dxa" w:w="2800"/>
          </w:tcPr>
          <w:p>
            <w:r>
              <w:rPr>
                <w:b w:val="false"/>
                <w:bCs w:val="false"/>
                <w:color w:val="1A1A2E"/>
                <w:sz w:val="19"/>
                <w:szCs w:val="19"/>
              </w:rPr>
              <w:t xml:space="preserve">contained_stress</w:t>
            </w:r>
          </w:p>
        </w:tc>
        <w:tc>
          <w:tcPr>
            <w:tcW w:type="dxa" w:w="6560"/>
          </w:tcPr>
          <w:p>
            <w:r>
              <w:rPr>
                <w:b w:val="false"/>
                <w:bCs w:val="false"/>
                <w:color w:val="1A1A2E"/>
                <w:sz w:val="19"/>
                <w:szCs w:val="19"/>
              </w:rPr>
              <w:t xml:space="preserve">Mild persistent contagion, bounded. FRAX March 2023.</w:t>
            </w:r>
          </w:p>
        </w:tc>
      </w:tr>
      <w:tr>
        <w:tc>
          <w:tcPr>
            <w:tcW w:type="dxa" w:w="2800"/>
          </w:tcPr>
          <w:p>
            <w:r>
              <w:rPr>
                <w:b w:val="false"/>
                <w:bCs w:val="false"/>
                <w:color w:val="1A1A2E"/>
                <w:sz w:val="19"/>
                <w:szCs w:val="19"/>
              </w:rPr>
              <w:t xml:space="preserve">liquidity_dislocation</w:t>
            </w:r>
          </w:p>
        </w:tc>
        <w:tc>
          <w:tcPr>
            <w:tcW w:type="dxa" w:w="6560"/>
          </w:tcPr>
          <w:p>
            <w:r>
              <w:rPr>
                <w:b w:val="false"/>
                <w:bCs w:val="false"/>
                <w:color w:val="1A1A2E"/>
                <w:sz w:val="19"/>
                <w:szCs w:val="19"/>
              </w:rPr>
              <w:t xml:space="preserve">Venue-specific execution risk, not systemic.</w:t>
            </w:r>
          </w:p>
        </w:tc>
      </w:tr>
      <w:tr>
        <w:tc>
          <w:tcPr>
            <w:tcW w:type="dxa" w:w="2800"/>
          </w:tcPr>
          <w:p>
            <w:r>
              <w:rPr>
                <w:b w:val="false"/>
                <w:bCs w:val="false"/>
                <w:color w:val="1A1A2E"/>
                <w:sz w:val="19"/>
                <w:szCs w:val="19"/>
              </w:rPr>
              <w:t xml:space="preserve">ambiguous</w:t>
            </w:r>
          </w:p>
        </w:tc>
        <w:tc>
          <w:tcPr>
            <w:tcW w:type="dxa" w:w="6560"/>
          </w:tcPr>
          <w:p>
            <w:r>
              <w:rPr>
                <w:b w:val="false"/>
                <w:bCs w:val="false"/>
                <w:color w:val="1A1A2E"/>
                <w:sz w:val="19"/>
                <w:szCs w:val="19"/>
              </w:rPr>
              <w:t xml:space="preserve">Insufficient signal — valid operational state, not a failure.</w:t>
            </w:r>
          </w:p>
        </w:tc>
      </w:tr>
    </w:tbl>
    <w:p>
      <w:pPr>
        <w:spacing w:after="160"/>
      </w:pPr>
    </w:p>
    <w:p>
      <w:pPr>
        <w:pStyle w:val="Heading2"/>
      </w:pPr>
      <w:r>
        <w:rPr>
          <w:b/>
          <w:bCs/>
          <w:color w:val="1A1A2E"/>
          <w:sz w:val="26"/>
          <w:szCs w:val="26"/>
        </w:rPr>
        <w:t xml:space="preserve">Key v2 Trajectory Features</w:t>
      </w:r>
    </w:p>
    <w:tbl>
      <w:tblPr>
        <w:tblW w:type="dxa" w:w="9360"/>
        <w:tblBorders>
          <w:top w:val="single" w:color="CBD5E0" w:sz="4"/>
          <w:left w:val="single" w:color="CBD5E0" w:sz="4"/>
          <w:bottom w:val="single" w:color="CBD5E0" w:sz="4"/>
          <w:right w:val="single" w:color="CBD5E0" w:sz="4"/>
          <w:insideH w:val="single" w:color="auto" w:sz="4"/>
          <w:insideV w:val="single" w:color="auto" w:sz="4"/>
        </w:tblBorders>
      </w:tblPr>
      <w:tblGrid>
        <w:gridCol w:w="100"/>
        <w:gridCol w:w="100"/>
      </w:tblGrid>
      <w:tr>
        <w:tc>
          <w:tcPr>
            <w:tcW w:type="dxa" w:w="2800"/>
            <w:shd w:color="1A1A2E" w:val="solid"/>
          </w:tcPr>
          <w:p>
            <w:r>
              <w:rPr>
                <w:b/>
                <w:bCs/>
                <w:color w:val="FFFFFF"/>
                <w:sz w:val="19"/>
                <w:szCs w:val="19"/>
              </w:rPr>
              <w:t xml:space="preserve">Feature</w:t>
            </w:r>
          </w:p>
        </w:tc>
        <w:tc>
          <w:tcPr>
            <w:tcW w:type="dxa" w:w="6560"/>
            <w:shd w:color="1A1A2E" w:val="solid"/>
          </w:tcPr>
          <w:p>
            <w:r>
              <w:rPr>
                <w:b/>
                <w:bCs/>
                <w:color w:val="FFFFFF"/>
                <w:sz w:val="19"/>
                <w:szCs w:val="19"/>
              </w:rPr>
              <w:t xml:space="preserve">What It Measures</w:t>
            </w:r>
          </w:p>
        </w:tc>
      </w:tr>
      <w:tr>
        <w:tc>
          <w:tcPr>
            <w:tcW w:type="dxa" w:w="2800"/>
          </w:tcPr>
          <w:p>
            <w:r>
              <w:rPr>
                <w:b w:val="false"/>
                <w:bCs w:val="false"/>
                <w:color w:val="1A1A2E"/>
                <w:sz w:val="19"/>
                <w:szCs w:val="19"/>
              </w:rPr>
              <w:t xml:space="preserve">monotonicity_score</w:t>
            </w:r>
          </w:p>
        </w:tc>
        <w:tc>
          <w:tcPr>
            <w:tcW w:type="dxa" w:w="6560"/>
          </w:tcPr>
          <w:p>
            <w:r>
              <w:rPr>
                <w:b w:val="false"/>
                <w:bCs w:val="false"/>
                <w:color w:val="1A1A2E"/>
                <w:sz w:val="19"/>
                <w:szCs w:val="19"/>
              </w:rPr>
              <w:t xml:space="preserve">Fraction of timesteps where severity is non-decreasing</w:t>
            </w:r>
          </w:p>
        </w:tc>
      </w:tr>
      <w:tr>
        <w:tc>
          <w:tcPr>
            <w:tcW w:type="dxa" w:w="2800"/>
          </w:tcPr>
          <w:p>
            <w:r>
              <w:rPr>
                <w:b w:val="false"/>
                <w:bCs w:val="false"/>
                <w:color w:val="1A1A2E"/>
                <w:sz w:val="19"/>
                <w:szCs w:val="19"/>
              </w:rPr>
              <w:t xml:space="preserve">deterioration_run</w:t>
            </w:r>
          </w:p>
        </w:tc>
        <w:tc>
          <w:tcPr>
            <w:tcW w:type="dxa" w:w="6560"/>
          </w:tcPr>
          <w:p>
            <w:r>
              <w:rPr>
                <w:b w:val="false"/>
                <w:bCs w:val="false"/>
                <w:color w:val="1A1A2E"/>
                <w:sz w:val="19"/>
                <w:szCs w:val="19"/>
              </w:rPr>
              <w:t xml:space="preserve">Longest consecutive run of increasing severity (hours)</w:t>
            </w:r>
          </w:p>
        </w:tc>
      </w:tr>
      <w:tr>
        <w:tc>
          <w:tcPr>
            <w:tcW w:type="dxa" w:w="2800"/>
          </w:tcPr>
          <w:p>
            <w:r>
              <w:rPr>
                <w:b w:val="false"/>
                <w:bCs w:val="false"/>
                <w:color w:val="1A1A2E"/>
                <w:sz w:val="19"/>
                <w:szCs w:val="19"/>
              </w:rPr>
              <w:t xml:space="preserve">early_late_ratio</w:t>
            </w:r>
          </w:p>
        </w:tc>
        <w:tc>
          <w:tcPr>
            <w:tcW w:type="dxa" w:w="6560"/>
          </w:tcPr>
          <w:p>
            <w:r>
              <w:rPr>
                <w:b w:val="false"/>
                <w:bCs w:val="false"/>
                <w:color w:val="1A1A2E"/>
                <w:sz w:val="19"/>
                <w:szCs w:val="19"/>
              </w:rPr>
              <w:t xml:space="preserve">Mean severity first 25% vs last 25% of window</w:t>
            </w:r>
          </w:p>
        </w:tc>
      </w:tr>
      <w:tr>
        <w:tc>
          <w:tcPr>
            <w:tcW w:type="dxa" w:w="2800"/>
          </w:tcPr>
          <w:p>
            <w:r>
              <w:rPr>
                <w:b w:val="false"/>
                <w:bCs w:val="false"/>
                <w:color w:val="1A1A2E"/>
                <w:sz w:val="19"/>
                <w:szCs w:val="19"/>
              </w:rPr>
              <w:t xml:space="preserve">recovery_completeness</w:t>
            </w:r>
          </w:p>
        </w:tc>
        <w:tc>
          <w:tcPr>
            <w:tcW w:type="dxa" w:w="6560"/>
          </w:tcPr>
          <w:p>
            <w:r>
              <w:rPr>
                <w:b w:val="false"/>
                <w:bCs w:val="false"/>
                <w:color w:val="1A1A2E"/>
                <w:sz w:val="19"/>
                <w:szCs w:val="19"/>
              </w:rPr>
              <w:t xml:space="preserve">(peak_sev - terminal_sev) / peak_sev</w:t>
            </w:r>
          </w:p>
        </w:tc>
      </w:tr>
      <w:tr>
        <w:tc>
          <w:tcPr>
            <w:tcW w:type="dxa" w:w="2800"/>
          </w:tcPr>
          <w:p>
            <w:r>
              <w:rPr>
                <w:b w:val="false"/>
                <w:bCs w:val="false"/>
                <w:color w:val="1A1A2E"/>
                <w:sz w:val="19"/>
                <w:szCs w:val="19"/>
              </w:rPr>
              <w:t xml:space="preserve">abandonment_signal</w:t>
            </w:r>
          </w:p>
        </w:tc>
        <w:tc>
          <w:tcPr>
            <w:tcW w:type="dxa" w:w="6560"/>
          </w:tcPr>
          <w:p>
            <w:r>
              <w:rPr>
                <w:b w:val="false"/>
                <w:bCs w:val="false"/>
                <w:color w:val="1A1A2E"/>
                <w:sz w:val="19"/>
                <w:szCs w:val="19"/>
              </w:rPr>
              <w:t xml:space="preserve">Delta between adjusted and raw recovery completeness</w:t>
            </w:r>
          </w:p>
        </w:tc>
      </w:tr>
    </w:tbl>
    <w:p>
      <w:pPr>
        <w:spacing w:after="120"/>
      </w:pPr>
    </w:p>
    <w:p>
      <w:pPr>
        <w:pBdr>
          <w:left w:val="single" w:color="FF4560" w:sz="20"/>
        </w:pBdr>
        <w:shd w:color="FFFBF0" w:val="solid"/>
        <w:spacing w:after="120" w:before="120"/>
        <w:ind w:left="360"/>
      </w:pPr>
      <w:r>
        <w:rPr>
          <w:b/>
          <w:bCs/>
          <w:color w:val="FF4560"/>
          <w:sz w:val="20"/>
          <w:szCs w:val="20"/>
        </w:rPr>
        <w:t xml:space="preserve">CRITICAL:  </w:t>
      </w:r>
      <w:r>
        <w:rPr>
          <w:color w:val="1A1A2E"/>
          <w:sz w:val="20"/>
          <w:szCs w:val="20"/>
        </w:rPr>
        <w:t xml:space="preserve">Volume collapse in terminal abandonment ≠ price recovery. abandonment_signal detects when liquidity weight adjustment is misreading a dead asset as a recovered one. This is what fired R1c on UST.</w:t>
      </w:r>
    </w:p>
    <w:p>
      <w:pPr>
        <w:spacing w:after="120"/>
      </w:pPr>
    </w:p>
    <w:p>
      <w:pPr>
        <w:pStyle w:val="Heading2"/>
      </w:pPr>
      <w:r>
        <w:rPr>
          <w:b/>
          <w:bCs/>
          <w:color w:val="1A1A2E"/>
          <w:sz w:val="26"/>
          <w:szCs w:val="26"/>
        </w:rPr>
        <w:t xml:space="preserve">Rule Hierarchy</w:t>
      </w:r>
    </w:p>
    <w:p>
      <w:pPr>
        <w:pStyle w:val="ListParagraph"/>
        <w:numPr>
          <w:ilvl w:val="0"/>
          <w:numId w:val="1"/>
        </w:numPr>
        <w:spacing w:after="80"/>
      </w:pPr>
      <w:r>
        <w:rPr>
          <w:color w:val="1A1A2E"/>
          <w:sz w:val="20"/>
          <w:szCs w:val="20"/>
        </w:rPr>
        <w:t xml:space="preserve">R1a: reflexive_collapse — endpoint (strong cases)</w:t>
      </w:r>
    </w:p>
    <w:p>
      <w:pPr>
        <w:pStyle w:val="ListParagraph"/>
        <w:numPr>
          <w:ilvl w:val="0"/>
          <w:numId w:val="1"/>
        </w:numPr>
        <w:spacing w:after="80"/>
      </w:pPr>
      <w:r>
        <w:rPr>
          <w:color w:val="1A1A2E"/>
          <w:sz w:val="20"/>
          <w:szCs w:val="20"/>
        </w:rPr>
        <w:t xml:space="preserve">R1b: reflexive_collapse — trajectory (monotonic deterioration)</w:t>
      </w:r>
    </w:p>
    <w:p>
      <w:pPr>
        <w:pStyle w:val="ListParagraph"/>
        <w:numPr>
          <w:ilvl w:val="0"/>
          <w:numId w:val="1"/>
        </w:numPr>
        <w:spacing w:after="80"/>
      </w:pPr>
      <w:r>
        <w:rPr>
          <w:color w:val="1A1A2E"/>
          <w:sz w:val="20"/>
          <w:szCs w:val="20"/>
        </w:rPr>
        <w:t xml:space="preserve">R1c: reflexive_collapse — abandonment (volume collapse masks terminal severity) ← UST</w:t>
      </w:r>
    </w:p>
    <w:p>
      <w:pPr>
        <w:pStyle w:val="ListParagraph"/>
        <w:numPr>
          <w:ilvl w:val="0"/>
          <w:numId w:val="1"/>
        </w:numPr>
        <w:spacing w:after="80"/>
      </w:pPr>
      <w:r>
        <w:rPr>
          <w:color w:val="1A1A2E"/>
          <w:sz w:val="20"/>
          <w:szCs w:val="20"/>
        </w:rPr>
        <w:t xml:space="preserve">R2a: collateral_shock — endpoint</w:t>
      </w:r>
    </w:p>
    <w:p>
      <w:pPr>
        <w:pStyle w:val="ListParagraph"/>
        <w:numPr>
          <w:ilvl w:val="0"/>
          <w:numId w:val="1"/>
        </w:numPr>
        <w:spacing w:after="80"/>
      </w:pPr>
      <w:r>
        <w:rPr>
          <w:color w:val="1A1A2E"/>
          <w:sz w:val="20"/>
          <w:szCs w:val="20"/>
        </w:rPr>
        <w:t xml:space="preserve">R2b: collateral_shock — shape asymmetry ← USDC</w:t>
      </w:r>
    </w:p>
    <w:p>
      <w:pPr>
        <w:pStyle w:val="ListParagraph"/>
        <w:numPr>
          <w:ilvl w:val="0"/>
          <w:numId w:val="1"/>
        </w:numPr>
        <w:spacing w:after="80"/>
      </w:pPr>
      <w:r>
        <w:rPr>
          <w:color w:val="1A1A2E"/>
          <w:sz w:val="20"/>
          <w:szCs w:val="20"/>
        </w:rPr>
        <w:t xml:space="preserve">R3: contained_stress ← FRAX</w:t>
      </w:r>
    </w:p>
    <w:p>
      <w:pPr>
        <w:pStyle w:val="ListParagraph"/>
        <w:numPr>
          <w:ilvl w:val="0"/>
          <w:numId w:val="1"/>
        </w:numPr>
        <w:spacing w:after="80"/>
      </w:pPr>
      <w:r>
        <w:rPr>
          <w:color w:val="1A1A2E"/>
          <w:sz w:val="20"/>
          <w:szCs w:val="20"/>
        </w:rPr>
        <w:t xml:space="preserve">R4: liquidity_dislocation</w:t>
      </w:r>
    </w:p>
    <w:p>
      <w:pPr>
        <w:pStyle w:val="ListParagraph"/>
        <w:numPr>
          <w:ilvl w:val="0"/>
          <w:numId w:val="1"/>
        </w:numPr>
        <w:spacing w:after="80"/>
      </w:pPr>
      <w:r>
        <w:rPr>
          <w:color w:val="1A1A2E"/>
          <w:sz w:val="20"/>
          <w:szCs w:val="20"/>
        </w:rPr>
        <w:t xml:space="preserve">R5: ambiguous (default)</w:t>
      </w:r>
    </w:p>
    <w:p>
      <w:pPr>
        <w:pBdr>
          <w:bottom w:val="single" w:color="CBD5E0" w:sz="6"/>
        </w:pBdr>
        <w:spacing w:after="160" w:before="160"/>
      </w:pPr>
    </w:p>
    <w:p>
      <w:pPr>
        <w:pStyle w:val="Heading1"/>
      </w:pPr>
      <w:r>
        <w:rPr>
          <w:b/>
          <w:bCs/>
          <w:color w:val="1A1A2E"/>
          <w:sz w:val="32"/>
          <w:szCs w:val="32"/>
        </w:rPr>
        <w:t xml:space="preserve">4. Scoring Function &amp; Pipeline</w:t>
      </w:r>
    </w:p>
    <w:p>
      <w:pPr>
        <w:pStyle w:val="Heading2"/>
      </w:pPr>
      <w:r>
        <w:rPr>
          <w:b/>
          <w:bCs/>
          <w:color w:val="1A1A2E"/>
          <w:sz w:val="26"/>
          <w:szCs w:val="26"/>
        </w:rPr>
        <w:t xml:space="preserve">Tail-Weighted Scoring</w:t>
      </w:r>
    </w:p>
    <w:p>
      <w:pPr>
        <w:spacing w:after="120"/>
      </w:pPr>
      <w:r>
        <w:rPr>
          <w:color w:val="1A1A2E"/>
          <w:sz w:val="20"/>
          <w:szCs w:val="20"/>
        </w:rPr>
        <w:t xml:space="preserve">The core scoring formula penalizes tail misses non-linearly:</w:t>
      </w:r>
    </w:p>
    <w:p>
      <w:pPr>
        <w:shd w:color="EDF2F7" w:val="solid"/>
        <w:spacing w:after="60" w:before="60"/>
        <w:ind w:left="360"/>
      </w:pPr>
      <w:r>
        <w:rPr>
          <w:rFonts w:ascii="Courier New" w:cs="Courier New" w:eastAsia="Courier New" w:hAnsi="Courier New"/>
          <w:color w:val="1A1A2E"/>
          <w:sz w:val="17"/>
          <w:szCs w:val="17"/>
        </w:rPr>
        <w:t xml:space="preserve">score = -∫ w(x) · (EL(x) - RL(x))² dx</w:t>
      </w:r>
    </w:p>
    <w:p>
      <w:pPr>
        <w:shd w:color="EDF2F7" w:val="solid"/>
        <w:spacing w:after="60" w:before="60"/>
        <w:ind w:left="360"/>
      </w:pPr>
      <w:r>
        <w:rPr>
          <w:rFonts w:ascii="Courier New" w:cs="Courier New" w:eastAsia="Courier New" w:hAnsi="Courier New"/>
          <w:color w:val="1A1A2E"/>
          <w:sz w:val="17"/>
          <w:szCs w:val="17"/>
        </w:rPr>
        <w:t xml:space="preserve">where w(x) = exp(λ · x),  λ = 3.0 (default)</w:t>
      </w:r>
    </w:p>
    <w:p>
      <w:pPr>
        <w:spacing w:after="120"/>
      </w:pPr>
      <w:r>
        <w:rPr>
          <w:color w:val="1A1A2E"/>
          <w:sz w:val="20"/>
          <w:szCs w:val="20"/>
        </w:rPr>
        <w:t xml:space="preserve">A model that nails shallow depegs but misses the 20% tail scores far worse than unweighted MSE would suggest. This aligns scoring with capital risk, not statistical fit.</w:t>
      </w:r>
    </w:p>
    <w:p>
      <w:pPr>
        <w:spacing w:after="120"/>
      </w:pPr>
    </w:p>
    <w:p>
      <w:pPr>
        <w:pStyle w:val="Heading2"/>
      </w:pPr>
      <w:r>
        <w:rPr>
          <w:b/>
          <w:bCs/>
          <w:color w:val="1A1A2E"/>
          <w:sz w:val="26"/>
          <w:szCs w:val="26"/>
        </w:rPr>
        <w:t xml:space="preserve">Soft Prior Selection</w:t>
      </w:r>
    </w:p>
    <w:p>
      <w:pPr>
        <w:spacing w:after="120"/>
      </w:pPr>
      <w:r>
        <w:rPr>
          <w:color w:val="1A1A2E"/>
          <w:sz w:val="20"/>
          <w:szCs w:val="20"/>
        </w:rPr>
        <w:t xml:space="preserve">Three policies compared in harness_v2_1.py:</w:t>
      </w:r>
    </w:p>
    <w:p>
      <w:pPr>
        <w:pStyle w:val="ListParagraph"/>
        <w:numPr>
          <w:ilvl w:val="0"/>
          <w:numId w:val="1"/>
        </w:numPr>
        <w:spacing w:after="80"/>
      </w:pPr>
      <w:r>
        <w:rPr>
          <w:color w:val="1A1A2E"/>
          <w:sz w:val="20"/>
          <w:szCs w:val="20"/>
        </w:rPr>
        <w:t xml:space="preserve">Naive: global best across all 33 curves</w:t>
      </w:r>
    </w:p>
    <w:p>
      <w:pPr>
        <w:pStyle w:val="ListParagraph"/>
        <w:numPr>
          <w:ilvl w:val="0"/>
          <w:numId w:val="1"/>
        </w:numPr>
        <w:spacing w:after="80"/>
      </w:pPr>
      <w:r>
        <w:rPr>
          <w:color w:val="1A1A2E"/>
          <w:sz w:val="20"/>
          <w:szCs w:val="20"/>
        </w:rPr>
        <w:t xml:space="preserve">Hard prior: restrict to regime family subset</w:t>
      </w:r>
    </w:p>
    <w:p>
      <w:pPr>
        <w:pStyle w:val="ListParagraph"/>
        <w:numPr>
          <w:ilvl w:val="0"/>
          <w:numId w:val="1"/>
        </w:numPr>
        <w:spacing w:after="80"/>
      </w:pPr>
      <w:r>
        <w:rPr>
          <w:color w:val="1A1A2E"/>
          <w:sz w:val="20"/>
          <w:szCs w:val="20"/>
        </w:rPr>
        <w:t xml:space="preserve">Soft prior: adjusted_score(m) = score(m) - λ_p · penalty(regime, family(m))</w:t>
      </w:r>
    </w:p>
    <w:p>
      <w:pPr>
        <w:spacing w:after="80"/>
      </w:pPr>
    </w:p>
    <w:p>
      <w:pPr>
        <w:spacing w:after="120"/>
      </w:pPr>
      <w:r>
        <w:rPr>
          <w:color w:val="1A1A2E"/>
          <w:sz w:val="20"/>
          <w:szCs w:val="20"/>
        </w:rPr>
        <w:t xml:space="preserve">Penalty matrix (src/scoring/soft_prior.py) encodes economic intuition explicitly:</w:t>
      </w:r>
    </w:p>
    <w:tbl>
      <w:tblPr>
        <w:tblW w:type="dxa" w:w="9360"/>
        <w:tblBorders>
          <w:top w:val="single" w:color="CBD5E0" w:sz="4"/>
          <w:left w:val="single" w:color="CBD5E0" w:sz="4"/>
          <w:bottom w:val="single" w:color="CBD5E0" w:sz="4"/>
          <w:right w:val="single" w:color="CBD5E0" w:sz="4"/>
          <w:insideH w:val="single" w:color="auto" w:sz="4"/>
          <w:insideV w:val="single" w:color="auto" w:sz="4"/>
        </w:tblBorders>
      </w:tblPr>
      <w:tblGrid>
        <w:gridCol w:w="100"/>
        <w:gridCol w:w="100"/>
      </w:tblGrid>
      <w:tr>
        <w:tc>
          <w:tcPr>
            <w:tcW w:type="dxa" w:w="2800"/>
            <w:shd w:color="1A1A2E" w:val="solid"/>
          </w:tcPr>
          <w:p>
            <w:r>
              <w:rPr>
                <w:b/>
                <w:bCs/>
                <w:color w:val="FFFFFF"/>
                <w:sz w:val="19"/>
                <w:szCs w:val="19"/>
              </w:rPr>
              <w:t xml:space="preserve">Regime</w:t>
            </w:r>
          </w:p>
        </w:tc>
        <w:tc>
          <w:tcPr>
            <w:tcW w:type="dxa" w:w="6560"/>
            <w:shd w:color="1A1A2E" w:val="solid"/>
          </w:tcPr>
          <w:p>
            <w:r>
              <w:rPr>
                <w:b/>
                <w:bCs/>
                <w:color w:val="FFFFFF"/>
                <w:sz w:val="19"/>
                <w:szCs w:val="19"/>
              </w:rPr>
              <w:t xml:space="preserve">Preferred Family</w:t>
            </w:r>
          </w:p>
        </w:tc>
      </w:tr>
      <w:tr>
        <w:tc>
          <w:tcPr>
            <w:tcW w:type="dxa" w:w="2800"/>
          </w:tcPr>
          <w:p>
            <w:r>
              <w:rPr>
                <w:b w:val="false"/>
                <w:bCs w:val="false"/>
                <w:color w:val="1A1A2E"/>
                <w:sz w:val="19"/>
                <w:szCs w:val="19"/>
              </w:rPr>
              <w:t xml:space="preserve">reflexive_collapse</w:t>
            </w:r>
          </w:p>
        </w:tc>
        <w:tc>
          <w:tcPr>
            <w:tcW w:type="dxa" w:w="6560"/>
          </w:tcPr>
          <w:p>
            <w:r>
              <w:rPr>
                <w:b w:val="false"/>
                <w:bCs w:val="false"/>
                <w:color w:val="1A1A2E"/>
                <w:sz w:val="19"/>
                <w:szCs w:val="19"/>
              </w:rPr>
              <w:t xml:space="preserve">exp_decay (slow decay, fat tail)</w:t>
            </w:r>
          </w:p>
        </w:tc>
      </w:tr>
      <w:tr>
        <w:tc>
          <w:tcPr>
            <w:tcW w:type="dxa" w:w="2800"/>
          </w:tcPr>
          <w:p>
            <w:r>
              <w:rPr>
                <w:b w:val="false"/>
                <w:bCs w:val="false"/>
                <w:color w:val="1A1A2E"/>
                <w:sz w:val="19"/>
                <w:szCs w:val="19"/>
              </w:rPr>
              <w:t xml:space="preserve">collateral_shock</w:t>
            </w:r>
          </w:p>
        </w:tc>
        <w:tc>
          <w:tcPr>
            <w:tcW w:type="dxa" w:w="6560"/>
          </w:tcPr>
          <w:p>
            <w:r>
              <w:rPr>
                <w:b w:val="false"/>
                <w:bCs w:val="false"/>
                <w:color w:val="1A1A2E"/>
                <w:sz w:val="19"/>
                <w:szCs w:val="19"/>
              </w:rPr>
              <w:t xml:space="preserve">piecewise (breakpoint structure)</w:t>
            </w:r>
          </w:p>
        </w:tc>
      </w:tr>
      <w:tr>
        <w:tc>
          <w:tcPr>
            <w:tcW w:type="dxa" w:w="2800"/>
          </w:tcPr>
          <w:p>
            <w:r>
              <w:rPr>
                <w:b w:val="false"/>
                <w:bCs w:val="false"/>
                <w:color w:val="1A1A2E"/>
                <w:sz w:val="19"/>
                <w:szCs w:val="19"/>
              </w:rPr>
              <w:t xml:space="preserve">contained_stress</w:t>
            </w:r>
          </w:p>
        </w:tc>
        <w:tc>
          <w:tcPr>
            <w:tcW w:type="dxa" w:w="6560"/>
          </w:tcPr>
          <w:p>
            <w:r>
              <w:rPr>
                <w:b w:val="false"/>
                <w:bCs w:val="false"/>
                <w:color w:val="1A1A2E"/>
                <w:sz w:val="19"/>
                <w:szCs w:val="19"/>
              </w:rPr>
              <w:t xml:space="preserve">duration_coupled (persistence matters)</w:t>
            </w:r>
          </w:p>
        </w:tc>
      </w:tr>
      <w:tr>
        <w:tc>
          <w:tcPr>
            <w:tcW w:type="dxa" w:w="2800"/>
          </w:tcPr>
          <w:p>
            <w:r>
              <w:rPr>
                <w:b w:val="false"/>
                <w:bCs w:val="false"/>
                <w:color w:val="1A1A2E"/>
                <w:sz w:val="19"/>
                <w:szCs w:val="19"/>
              </w:rPr>
              <w:t xml:space="preserve">ambiguous</w:t>
            </w:r>
          </w:p>
        </w:tc>
        <w:tc>
          <w:tcPr>
            <w:tcW w:type="dxa" w:w="6560"/>
          </w:tcPr>
          <w:p>
            <w:r>
              <w:rPr>
                <w:b w:val="false"/>
                <w:bCs w:val="false"/>
                <w:color w:val="1A1A2E"/>
                <w:sz w:val="19"/>
                <w:szCs w:val="19"/>
              </w:rPr>
              <w:t xml:space="preserve">all families equal (preserve full search)</w:t>
            </w:r>
          </w:p>
        </w:tc>
      </w:tr>
    </w:tbl>
    <w:p>
      <w:pPr>
        <w:pBdr>
          <w:bottom w:val="single" w:color="CBD5E0" w:sz="6"/>
        </w:pBdr>
        <w:spacing w:after="160" w:before="160"/>
      </w:pPr>
    </w:p>
    <w:p>
      <w:pPr>
        <w:pStyle w:val="Heading1"/>
      </w:pPr>
      <w:r>
        <w:rPr>
          <w:b/>
          <w:bCs/>
          <w:color w:val="1A1A2E"/>
          <w:sz w:val="32"/>
          <w:szCs w:val="32"/>
        </w:rPr>
        <w:t xml:space="preserve">5. Critical Vulnerability — Adverse Selection Gap</w:t>
      </w:r>
    </w:p>
    <w:p>
      <w:pPr>
        <w:pBdr>
          <w:left w:val="single" w:color="FF4560" w:sz="20"/>
        </w:pBdr>
        <w:shd w:color="FFFBF0" w:val="solid"/>
        <w:spacing w:after="120" w:before="120"/>
        <w:ind w:left="360"/>
      </w:pPr>
      <w:r>
        <w:rPr>
          <w:b/>
          <w:bCs/>
          <w:color w:val="FF4560"/>
          <w:sz w:val="20"/>
          <w:szCs w:val="20"/>
        </w:rPr>
        <w:t xml:space="preserve">HIGHEST PRIORITY:  </w:t>
      </w:r>
      <w:r>
        <w:rPr>
          <w:color w:val="1A1A2E"/>
          <w:sz w:val="20"/>
          <w:szCs w:val="20"/>
        </w:rPr>
        <w:t xml:space="preserve">This is the most important unsolved problem. It must be addressed before the protocol goes live with real capital.</w:t>
      </w:r>
    </w:p>
    <w:p>
      <w:pPr>
        <w:spacing w:after="120"/>
      </w:pPr>
    </w:p>
    <w:p>
      <w:pPr>
        <w:pStyle w:val="Heading2"/>
      </w:pPr>
      <w:r>
        <w:rPr>
          <w:b/>
          <w:bCs/>
          <w:color w:val="1A1A2E"/>
          <w:sz w:val="26"/>
          <w:szCs w:val="26"/>
        </w:rPr>
        <w:t xml:space="preserve">The Attack Vector</w:t>
      </w:r>
    </w:p>
    <w:p>
      <w:pPr>
        <w:spacing w:after="120"/>
      </w:pPr>
      <w:r>
        <w:rPr>
          <w:color w:val="1A1A2E"/>
          <w:sz w:val="20"/>
          <w:szCs w:val="20"/>
        </w:rPr>
        <w:t xml:space="preserve">If the signal fires publicly before underwriting reprices, sophisticated actors can buy coverage at stale prices:</w:t>
      </w:r>
    </w:p>
    <w:p>
      <w:pPr>
        <w:pStyle w:val="ListParagraph"/>
        <w:numPr>
          <w:ilvl w:val="0"/>
          <w:numId w:val="1"/>
        </w:numPr>
        <w:spacing w:after="80"/>
      </w:pPr>
      <w:r>
        <w:rPr>
          <w:color w:val="1A1A2E"/>
          <w:sz w:val="20"/>
          <w:szCs w:val="20"/>
        </w:rPr>
        <w:t xml:space="preserve">1. Terminal emits ESCALATING on USDC at $0.985</w:t>
      </w:r>
    </w:p>
    <w:p>
      <w:pPr>
        <w:pStyle w:val="ListParagraph"/>
        <w:numPr>
          <w:ilvl w:val="0"/>
          <w:numId w:val="1"/>
        </w:numPr>
        <w:spacing w:after="80"/>
      </w:pPr>
      <w:r>
        <w:rPr>
          <w:color w:val="1A1A2E"/>
          <w:sz w:val="20"/>
          <w:szCs w:val="20"/>
        </w:rPr>
        <w:t xml:space="preserve">2. Attacker buys coverage at pre-stress pricing</w:t>
      </w:r>
    </w:p>
    <w:p>
      <w:pPr>
        <w:pStyle w:val="ListParagraph"/>
        <w:numPr>
          <w:ilvl w:val="0"/>
          <w:numId w:val="1"/>
        </w:numPr>
        <w:spacing w:after="80"/>
      </w:pPr>
      <w:r>
        <w:rPr>
          <w:color w:val="1A1A2E"/>
          <w:sz w:val="20"/>
          <w:szCs w:val="20"/>
        </w:rPr>
        <w:t xml:space="preserve">3. Protocol has not repriced yet</w:t>
      </w:r>
    </w:p>
    <w:p>
      <w:pPr>
        <w:pStyle w:val="ListParagraph"/>
        <w:numPr>
          <w:ilvl w:val="0"/>
          <w:numId w:val="1"/>
        </w:numPr>
        <w:spacing w:after="80"/>
      </w:pPr>
      <w:r>
        <w:rPr>
          <w:color w:val="1A1A2E"/>
          <w:sz w:val="20"/>
          <w:szCs w:val="20"/>
        </w:rPr>
        <w:t xml:space="preserve">4. Attacker collects payout if depeg deepens</w:t>
      </w:r>
    </w:p>
    <w:p>
      <w:pPr>
        <w:spacing w:after="120"/>
      </w:pPr>
    </w:p>
    <w:p>
      <w:pPr>
        <w:pBdr>
          <w:left w:val="single" w:color="F5A623" w:sz="20"/>
        </w:pBdr>
        <w:shd w:color="FFFBF0" w:val="solid"/>
        <w:spacing w:after="120" w:before="120"/>
        <w:ind w:left="360"/>
      </w:pPr>
      <w:r>
        <w:rPr>
          <w:b/>
          <w:bCs/>
          <w:color w:val="F5A623"/>
          <w:sz w:val="20"/>
          <w:szCs w:val="20"/>
        </w:rPr>
        <w:t xml:space="preserve">ROOT CAUSE:  </w:t>
      </w:r>
      <w:r>
        <w:rPr>
          <w:color w:val="1A1A2E"/>
          <w:sz w:val="20"/>
          <w:szCs w:val="20"/>
        </w:rPr>
        <w:t xml:space="preserve">The gap between 'terminal knows' and 'protocol reprices' is the attack surface. Every architectural decision must close this gap.</w:t>
      </w:r>
    </w:p>
    <w:p>
      <w:pPr>
        <w:spacing w:after="120"/>
      </w:pPr>
    </w:p>
    <w:p>
      <w:pPr>
        <w:pStyle w:val="Heading2"/>
      </w:pPr>
      <w:r>
        <w:rPr>
          <w:b/>
          <w:bCs/>
          <w:color w:val="1A1A2E"/>
          <w:sz w:val="26"/>
          <w:szCs w:val="26"/>
        </w:rPr>
        <w:t xml:space="preserve">Fix 1: Atomic Pricing Update</w:t>
      </w:r>
    </w:p>
    <w:p>
      <w:pPr>
        <w:spacing w:after="120"/>
      </w:pPr>
      <w:r>
        <w:rPr>
          <w:color w:val="1A1A2E"/>
          <w:sz w:val="20"/>
          <w:szCs w:val="20"/>
        </w:rPr>
        <w:t xml:space="preserve">The HazardCurveEngine must reprice in the same block or same polling window as the signal. Oracle adapter architecture:</w:t>
      </w:r>
    </w:p>
    <w:p>
      <w:pPr>
        <w:shd w:color="EDF2F7" w:val="solid"/>
        <w:spacing w:after="60" w:before="60"/>
        <w:ind w:left="360"/>
      </w:pPr>
      <w:r>
        <w:rPr>
          <w:rFonts w:ascii="Courier New" w:cs="Courier New" w:eastAsia="Courier New" w:hAnsi="Courier New"/>
          <w:color w:val="1A1A2E"/>
          <w:sz w:val="17"/>
          <w:szCs w:val="17"/>
        </w:rPr>
        <w:t xml:space="preserve">TerminalSignal → OracleAdapter → HazardCurveEngine.updateRegime(regime, confidence)</w:t>
      </w:r>
    </w:p>
    <w:p>
      <w:pPr>
        <w:spacing w:after="120"/>
      </w:pPr>
      <w:r>
        <w:rPr>
          <w:color w:val="1A1A2E"/>
          <w:sz w:val="20"/>
          <w:szCs w:val="20"/>
        </w:rPr>
        <w:t xml:space="preserve">HazardCurveEngine reads regime state before writing any new policy. Zero latency between signal and pricing update.</w:t>
      </w:r>
    </w:p>
    <w:p>
      <w:pPr>
        <w:spacing w:after="120"/>
      </w:pPr>
    </w:p>
    <w:p>
      <w:pPr>
        <w:pStyle w:val="Heading2"/>
      </w:pPr>
      <w:r>
        <w:rPr>
          <w:b/>
          <w:bCs/>
          <w:color w:val="1A1A2E"/>
          <w:sz w:val="26"/>
          <w:szCs w:val="26"/>
        </w:rPr>
        <w:t xml:space="preserve">Fix 2: Dynamic Premium Loading</w:t>
      </w:r>
    </w:p>
    <w:tbl>
      <w:tblPr>
        <w:tblW w:type="dxa" w:w="9360"/>
        <w:tblBorders>
          <w:top w:val="single" w:color="CBD5E0" w:sz="4"/>
          <w:left w:val="single" w:color="CBD5E0" w:sz="4"/>
          <w:bottom w:val="single" w:color="CBD5E0" w:sz="4"/>
          <w:right w:val="single" w:color="CBD5E0" w:sz="4"/>
          <w:insideH w:val="single" w:color="auto" w:sz="4"/>
          <w:insideV w:val="single" w:color="auto" w:sz="4"/>
        </w:tblBorders>
      </w:tblPr>
      <w:tblGrid>
        <w:gridCol w:w="100"/>
        <w:gridCol w:w="100"/>
      </w:tblGrid>
      <w:tr>
        <w:tc>
          <w:tcPr>
            <w:tcW w:type="dxa" w:w="2800"/>
            <w:shd w:color="1A1A2E" w:val="solid"/>
          </w:tcPr>
          <w:p>
            <w:r>
              <w:rPr>
                <w:b/>
                <w:bCs/>
                <w:color w:val="FFFFFF"/>
                <w:sz w:val="19"/>
                <w:szCs w:val="19"/>
              </w:rPr>
              <w:t xml:space="preserve">Regime State</w:t>
            </w:r>
          </w:p>
        </w:tc>
        <w:tc>
          <w:tcPr>
            <w:tcW w:type="dxa" w:w="6560"/>
            <w:shd w:color="1A1A2E" w:val="solid"/>
          </w:tcPr>
          <w:p>
            <w:r>
              <w:rPr>
                <w:b/>
                <w:bCs/>
                <w:color w:val="FFFFFF"/>
                <w:sz w:val="19"/>
                <w:szCs w:val="19"/>
              </w:rPr>
              <w:t xml:space="preserve">Premium Loading</w:t>
            </w:r>
          </w:p>
        </w:tc>
      </w:tr>
      <w:tr>
        <w:tc>
          <w:tcPr>
            <w:tcW w:type="dxa" w:w="2800"/>
          </w:tcPr>
          <w:p>
            <w:r>
              <w:rPr>
                <w:b w:val="false"/>
                <w:bCs w:val="false"/>
                <w:color w:val="1A1A2E"/>
                <w:sz w:val="19"/>
                <w:szCs w:val="19"/>
              </w:rPr>
              <w:t xml:space="preserve">ambiguous</w:t>
            </w:r>
          </w:p>
        </w:tc>
        <w:tc>
          <w:tcPr>
            <w:tcW w:type="dxa" w:w="6560"/>
          </w:tcPr>
          <w:p>
            <w:r>
              <w:rPr>
                <w:b w:val="false"/>
                <w:bCs w:val="false"/>
                <w:color w:val="1A1A2E"/>
                <w:sz w:val="19"/>
                <w:szCs w:val="19"/>
              </w:rPr>
              <w:t xml:space="preserve">base_rate × 1.00</w:t>
            </w:r>
          </w:p>
        </w:tc>
      </w:tr>
      <w:tr>
        <w:tc>
          <w:tcPr>
            <w:tcW w:type="dxa" w:w="2800"/>
          </w:tcPr>
          <w:p>
            <w:r>
              <w:rPr>
                <w:b w:val="false"/>
                <w:bCs w:val="false"/>
                <w:color w:val="1A1A2E"/>
                <w:sz w:val="19"/>
                <w:szCs w:val="19"/>
              </w:rPr>
              <w:t xml:space="preserve">contained_stress</w:t>
            </w:r>
          </w:p>
        </w:tc>
        <w:tc>
          <w:tcPr>
            <w:tcW w:type="dxa" w:w="6560"/>
          </w:tcPr>
          <w:p>
            <w:r>
              <w:rPr>
                <w:b w:val="false"/>
                <w:bCs w:val="false"/>
                <w:color w:val="1A1A2E"/>
                <w:sz w:val="19"/>
                <w:szCs w:val="19"/>
              </w:rPr>
              <w:t xml:space="preserve">base_rate × 1.25</w:t>
            </w:r>
          </w:p>
        </w:tc>
      </w:tr>
      <w:tr>
        <w:tc>
          <w:tcPr>
            <w:tcW w:type="dxa" w:w="2800"/>
          </w:tcPr>
          <w:p>
            <w:r>
              <w:rPr>
                <w:b w:val="false"/>
                <w:bCs w:val="false"/>
                <w:color w:val="1A1A2E"/>
                <w:sz w:val="19"/>
                <w:szCs w:val="19"/>
              </w:rPr>
              <w:t xml:space="preserve">collateral_shock</w:t>
            </w:r>
          </w:p>
        </w:tc>
        <w:tc>
          <w:tcPr>
            <w:tcW w:type="dxa" w:w="6560"/>
          </w:tcPr>
          <w:p>
            <w:r>
              <w:rPr>
                <w:b w:val="false"/>
                <w:bCs w:val="false"/>
                <w:color w:val="1A1A2E"/>
                <w:sz w:val="19"/>
                <w:szCs w:val="19"/>
              </w:rPr>
              <w:t xml:space="preserve">base_rate × 1.50  +  cap new coverage</w:t>
            </w:r>
          </w:p>
        </w:tc>
      </w:tr>
      <w:tr>
        <w:tc>
          <w:tcPr>
            <w:tcW w:type="dxa" w:w="2800"/>
          </w:tcPr>
          <w:p>
            <w:r>
              <w:rPr>
                <w:b w:val="false"/>
                <w:bCs w:val="false"/>
                <w:color w:val="1A1A2E"/>
                <w:sz w:val="19"/>
                <w:szCs w:val="19"/>
              </w:rPr>
              <w:t xml:space="preserve">escalating</w:t>
            </w:r>
          </w:p>
        </w:tc>
        <w:tc>
          <w:tcPr>
            <w:tcW w:type="dxa" w:w="6560"/>
          </w:tcPr>
          <w:p>
            <w:r>
              <w:rPr>
                <w:b w:val="false"/>
                <w:bCs w:val="false"/>
                <w:color w:val="1A1A2E"/>
                <w:sz w:val="19"/>
                <w:szCs w:val="19"/>
              </w:rPr>
              <w:t xml:space="preserve">base_rate × 2.00</w:t>
            </w:r>
          </w:p>
        </w:tc>
      </w:tr>
      <w:tr>
        <w:tc>
          <w:tcPr>
            <w:tcW w:type="dxa" w:w="2800"/>
          </w:tcPr>
          <w:p>
            <w:r>
              <w:rPr>
                <w:b w:val="false"/>
                <w:bCs w:val="false"/>
                <w:color w:val="1A1A2E"/>
                <w:sz w:val="19"/>
                <w:szCs w:val="19"/>
              </w:rPr>
              <w:t xml:space="preserve">reflexive_collapse</w:t>
            </w:r>
          </w:p>
        </w:tc>
        <w:tc>
          <w:tcPr>
            <w:tcW w:type="dxa" w:w="6560"/>
          </w:tcPr>
          <w:p>
            <w:r>
              <w:rPr>
                <w:b w:val="false"/>
                <w:bCs w:val="false"/>
                <w:color w:val="1A1A2E"/>
                <w:sz w:val="19"/>
                <w:szCs w:val="19"/>
              </w:rPr>
              <w:t xml:space="preserve">HALT new issuance immediately</w:t>
            </w:r>
          </w:p>
        </w:tc>
      </w:tr>
    </w:tbl>
    <w:p>
      <w:pPr>
        <w:spacing w:after="120"/>
      </w:pPr>
    </w:p>
    <w:p>
      <w:pPr>
        <w:pStyle w:val="Heading2"/>
      </w:pPr>
      <w:r>
        <w:rPr>
          <w:b/>
          <w:bCs/>
          <w:color w:val="1A1A2E"/>
          <w:sz w:val="26"/>
          <w:szCs w:val="26"/>
        </w:rPr>
        <w:t xml:space="preserve">Fix 3: LP Withdrawal Lockup (72h)</w:t>
      </w:r>
    </w:p>
    <w:p>
      <w:pPr>
        <w:shd w:color="EDF2F7" w:val="solid"/>
        <w:spacing w:after="60" w:before="60"/>
        <w:ind w:left="360"/>
      </w:pPr>
      <w:r>
        <w:rPr>
          <w:rFonts w:ascii="Courier New" w:cs="Courier New" w:eastAsia="Courier New" w:hAnsi="Courier New"/>
          <w:color w:val="1A1A2E"/>
          <w:sz w:val="17"/>
          <w:szCs w:val="17"/>
        </w:rPr>
        <w:t xml:space="preserve">mapping(address =&gt; uint256) public lastRegimeTransition;</w:t>
      </w:r>
    </w:p>
    <w:p>
      <w:pPr>
        <w:shd w:color="EDF2F7" w:val="solid"/>
        <w:spacing w:after="60" w:before="60"/>
        <w:ind w:left="360"/>
      </w:pPr>
      <w:r>
        <w:rPr>
          <w:rFonts w:ascii="Courier New" w:cs="Courier New" w:eastAsia="Courier New" w:hAnsi="Courier New"/>
          <w:color w:val="1A1A2E"/>
          <w:sz w:val="17"/>
          <w:szCs w:val="17"/>
        </w:rPr>
        <w:t xml:space="preserve">uint256 public constant LOCKUP_PERIOD = 72 hours;</w:t>
      </w:r>
    </w:p>
    <w:p>
      <w:pPr>
        <w:shd w:color="EDF2F7" w:val="solid"/>
        <w:spacing w:after="60" w:before="60"/>
        <w:ind w:left="360"/>
      </w:pPr>
      <w:r>
        <w:rPr>
          <w:rFonts w:ascii="Courier New" w:cs="Courier New" w:eastAsia="Courier New" w:hAnsi="Courier New"/>
          <w:color w:val="1A1A2E"/>
          <w:sz w:val="17"/>
          <w:szCs w:val="17"/>
        </w:rPr>
        <w:t xml:space="preserve"/>
      </w:r>
    </w:p>
    <w:p>
      <w:pPr>
        <w:shd w:color="EDF2F7" w:val="solid"/>
        <w:spacing w:after="60" w:before="60"/>
        <w:ind w:left="360"/>
      </w:pPr>
      <w:r>
        <w:rPr>
          <w:rFonts w:ascii="Courier New" w:cs="Courier New" w:eastAsia="Courier New" w:hAnsi="Courier New"/>
          <w:color w:val="1A1A2E"/>
          <w:sz w:val="17"/>
          <w:szCs w:val="17"/>
        </w:rPr>
        <w:t xml:space="preserve">modifier notInLockup() {</w:t>
      </w:r>
    </w:p>
    <w:p>
      <w:pPr>
        <w:shd w:color="EDF2F7" w:val="solid"/>
        <w:spacing w:after="60" w:before="60"/>
        <w:ind w:left="360"/>
      </w:pPr>
      <w:r>
        <w:rPr>
          <w:rFonts w:ascii="Courier New" w:cs="Courier New" w:eastAsia="Courier New" w:hAnsi="Courier New"/>
          <w:color w:val="1A1A2E"/>
          <w:sz w:val="17"/>
          <w:szCs w:val="17"/>
        </w:rPr>
        <w:t xml:space="preserve">    require(</w:t>
      </w:r>
    </w:p>
    <w:p>
      <w:pPr>
        <w:shd w:color="EDF2F7" w:val="solid"/>
        <w:spacing w:after="60" w:before="60"/>
        <w:ind w:left="360"/>
      </w:pPr>
      <w:r>
        <w:rPr>
          <w:rFonts w:ascii="Courier New" w:cs="Courier New" w:eastAsia="Courier New" w:hAnsi="Courier New"/>
          <w:color w:val="1A1A2E"/>
          <w:sz w:val="17"/>
          <w:szCs w:val="17"/>
        </w:rPr>
        <w:t xml:space="preserve">        block.timestamp &gt; lastRegimeTransition[asset] + LOCKUP_PERIOD,</w:t>
      </w:r>
    </w:p>
    <w:p>
      <w:pPr>
        <w:shd w:color="EDF2F7" w:val="solid"/>
        <w:spacing w:after="60" w:before="60"/>
        <w:ind w:left="360"/>
      </w:pPr>
      <w:r>
        <w:rPr>
          <w:rFonts w:ascii="Courier New" w:cs="Courier New" w:eastAsia="Courier New" w:hAnsi="Courier New"/>
          <w:color w:val="1A1A2E"/>
          <w:sz w:val="17"/>
          <w:szCs w:val="17"/>
        </w:rPr>
        <w:t xml:space="preserve">        'Capital locked during regime transition'</w:t>
      </w:r>
    </w:p>
    <w:p>
      <w:pPr>
        <w:shd w:color="EDF2F7" w:val="solid"/>
        <w:spacing w:after="60" w:before="60"/>
        <w:ind w:left="360"/>
      </w:pPr>
      <w:r>
        <w:rPr>
          <w:rFonts w:ascii="Courier New" w:cs="Courier New" w:eastAsia="Courier New" w:hAnsi="Courier New"/>
          <w:color w:val="1A1A2E"/>
          <w:sz w:val="17"/>
          <w:szCs w:val="17"/>
        </w:rPr>
        <w:t xml:space="preserve">    );</w:t>
      </w:r>
    </w:p>
    <w:p>
      <w:pPr>
        <w:shd w:color="EDF2F7" w:val="solid"/>
        <w:spacing w:after="60" w:before="60"/>
        <w:ind w:left="360"/>
      </w:pPr>
      <w:r>
        <w:rPr>
          <w:rFonts w:ascii="Courier New" w:cs="Courier New" w:eastAsia="Courier New" w:hAnsi="Courier New"/>
          <w:color w:val="1A1A2E"/>
          <w:sz w:val="17"/>
          <w:szCs w:val="17"/>
        </w:rPr>
        <w:t xml:space="preserve">    _;</w:t>
      </w:r>
    </w:p>
    <w:p>
      <w:pPr>
        <w:shd w:color="EDF2F7" w:val="solid"/>
        <w:spacing w:after="60" w:before="60"/>
        <w:ind w:left="360"/>
      </w:pPr>
      <w:r>
        <w:rPr>
          <w:rFonts w:ascii="Courier New" w:cs="Courier New" w:eastAsia="Courier New" w:hAnsi="Courier New"/>
          <w:color w:val="1A1A2E"/>
          <w:sz w:val="17"/>
          <w:szCs w:val="17"/>
        </w:rPr>
        <w:t xml:space="preserve">}</w:t>
      </w:r>
    </w:p>
    <w:p>
      <w:pPr>
        <w:spacing w:after="120"/>
      </w:pPr>
    </w:p>
    <w:p>
      <w:pPr>
        <w:pStyle w:val="Heading2"/>
      </w:pPr>
      <w:r>
        <w:rPr>
          <w:b/>
          <w:bCs/>
          <w:color w:val="1A1A2E"/>
          <w:sz w:val="26"/>
          <w:szCs w:val="26"/>
        </w:rPr>
        <w:t xml:space="preserve">Fix 4: Policy Issuance Lockout</w:t>
      </w:r>
    </w:p>
    <w:p>
      <w:pPr>
        <w:spacing w:after="120"/>
      </w:pPr>
      <w:r>
        <w:rPr>
          <w:color w:val="1A1A2E"/>
          <w:sz w:val="20"/>
          <w:szCs w:val="20"/>
        </w:rPr>
        <w:t xml:space="preserve">New policies cannot be written for an asset in ESCALATING or CRITICAL state unless capital was committed before the transition.</w:t>
      </w:r>
    </w:p>
    <w:p>
      <w:pPr>
        <w:pBdr>
          <w:bottom w:val="single" w:color="CBD5E0" w:sz="6"/>
        </w:pBdr>
        <w:spacing w:after="160" w:before="160"/>
      </w:pPr>
    </w:p>
    <w:p>
      <w:pPr>
        <w:pStyle w:val="Heading1"/>
      </w:pPr>
      <w:r>
        <w:rPr>
          <w:b/>
          <w:bCs/>
          <w:color w:val="1A1A2E"/>
          <w:sz w:val="32"/>
          <w:szCs w:val="32"/>
        </w:rPr>
        <w:t xml:space="preserve">6. Build Priority Order</w:t>
      </w:r>
    </w:p>
    <w:p>
      <w:pPr>
        <w:pStyle w:val="Heading2"/>
      </w:pPr>
      <w:r>
        <w:rPr>
          <w:b/>
          <w:bCs/>
          <w:color w:val="1A1A2E"/>
          <w:sz w:val="26"/>
          <w:szCs w:val="26"/>
        </w:rPr>
        <w:t xml:space="preserve">Priority 1: OracleAdapter.sol</w:t>
      </w:r>
    </w:p>
    <w:p>
      <w:pPr>
        <w:spacing w:after="120"/>
      </w:pPr>
      <w:r>
        <w:rPr>
          <w:color w:val="1A1A2E"/>
          <w:sz w:val="20"/>
          <w:szCs w:val="20"/>
        </w:rPr>
        <w:t xml:space="preserve">File to create: contracts/OracleAdapter.sol</w:t>
      </w:r>
    </w:p>
    <w:p>
      <w:pPr>
        <w:spacing w:after="120"/>
      </w:pPr>
      <w:r>
        <w:rPr>
          <w:color w:val="1A1A2E"/>
          <w:sz w:val="20"/>
          <w:szCs w:val="20"/>
        </w:rPr>
        <w:t xml:space="preserve">This closes the adverse selection gap. Build this first.</w:t>
      </w:r>
    </w:p>
    <w:p>
      <w:pPr>
        <w:shd w:color="EDF2F7" w:val="solid"/>
        <w:spacing w:after="60" w:before="60"/>
        <w:ind w:left="360"/>
      </w:pPr>
      <w:r>
        <w:rPr>
          <w:rFonts w:ascii="Courier New" w:cs="Courier New" w:eastAsia="Courier New" w:hAnsi="Courier New"/>
          <w:color w:val="1A1A2E"/>
          <w:sz w:val="17"/>
          <w:szCs w:val="17"/>
        </w:rPr>
        <w:t xml:space="preserve">interface IOracleAdapter {</w:t>
      </w:r>
    </w:p>
    <w:p>
      <w:pPr>
        <w:shd w:color="EDF2F7" w:val="solid"/>
        <w:spacing w:after="60" w:before="60"/>
        <w:ind w:left="360"/>
      </w:pPr>
      <w:r>
        <w:rPr>
          <w:rFonts w:ascii="Courier New" w:cs="Courier New" w:eastAsia="Courier New" w:hAnsi="Courier New"/>
          <w:color w:val="1A1A2E"/>
          <w:sz w:val="17"/>
          <w:szCs w:val="17"/>
        </w:rPr>
        <w:t xml:space="preserve">    function updateRegime(</w:t>
      </w:r>
    </w:p>
    <w:p>
      <w:pPr>
        <w:shd w:color="EDF2F7" w:val="solid"/>
        <w:spacing w:after="60" w:before="60"/>
        <w:ind w:left="360"/>
      </w:pPr>
      <w:r>
        <w:rPr>
          <w:rFonts w:ascii="Courier New" w:cs="Courier New" w:eastAsia="Courier New" w:hAnsi="Courier New"/>
          <w:color w:val="1A1A2E"/>
          <w:sz w:val="17"/>
          <w:szCs w:val="17"/>
        </w:rPr>
        <w:t xml:space="preserve">        address asset,</w:t>
      </w:r>
    </w:p>
    <w:p>
      <w:pPr>
        <w:shd w:color="EDF2F7" w:val="solid"/>
        <w:spacing w:after="60" w:before="60"/>
        <w:ind w:left="360"/>
      </w:pPr>
      <w:r>
        <w:rPr>
          <w:rFonts w:ascii="Courier New" w:cs="Courier New" w:eastAsia="Courier New" w:hAnsi="Courier New"/>
          <w:color w:val="1A1A2E"/>
          <w:sz w:val="17"/>
          <w:szCs w:val="17"/>
        </w:rPr>
        <w:t xml:space="preserve">        string calldata regime,</w:t>
      </w:r>
    </w:p>
    <w:p>
      <w:pPr>
        <w:shd w:color="EDF2F7" w:val="solid"/>
        <w:spacing w:after="60" w:before="60"/>
        <w:ind w:left="360"/>
      </w:pPr>
      <w:r>
        <w:rPr>
          <w:rFonts w:ascii="Courier New" w:cs="Courier New" w:eastAsia="Courier New" w:hAnsi="Courier New"/>
          <w:color w:val="1A1A2E"/>
          <w:sz w:val="17"/>
          <w:szCs w:val="17"/>
        </w:rPr>
        <w:t xml:space="preserve">        uint256 confidence,    // scaled 0-10000</w:t>
      </w:r>
    </w:p>
    <w:p>
      <w:pPr>
        <w:shd w:color="EDF2F7" w:val="solid"/>
        <w:spacing w:after="60" w:before="60"/>
        <w:ind w:left="360"/>
      </w:pPr>
      <w:r>
        <w:rPr>
          <w:rFonts w:ascii="Courier New" w:cs="Courier New" w:eastAsia="Courier New" w:hAnsi="Courier New"/>
          <w:color w:val="1A1A2E"/>
          <w:sz w:val="17"/>
          <w:szCs w:val="17"/>
        </w:rPr>
        <w:t xml:space="preserve">        uint256 timestamp</w:t>
      </w:r>
    </w:p>
    <w:p>
      <w:pPr>
        <w:shd w:color="EDF2F7" w:val="solid"/>
        <w:spacing w:after="60" w:before="60"/>
        <w:ind w:left="360"/>
      </w:pPr>
      <w:r>
        <w:rPr>
          <w:rFonts w:ascii="Courier New" w:cs="Courier New" w:eastAsia="Courier New" w:hAnsi="Courier New"/>
          <w:color w:val="1A1A2E"/>
          <w:sz w:val="17"/>
          <w:szCs w:val="17"/>
        </w:rPr>
        <w:t xml:space="preserve">    ) external;</w:t>
      </w:r>
    </w:p>
    <w:p>
      <w:pPr>
        <w:shd w:color="EDF2F7" w:val="solid"/>
        <w:spacing w:after="60" w:before="60"/>
        <w:ind w:left="360"/>
      </w:pPr>
      <w:r>
        <w:rPr>
          <w:rFonts w:ascii="Courier New" w:cs="Courier New" w:eastAsia="Courier New" w:hAnsi="Courier New"/>
          <w:color w:val="1A1A2E"/>
          <w:sz w:val="17"/>
          <w:szCs w:val="17"/>
        </w:rPr>
        <w:t xml:space="preserve"/>
      </w:r>
    </w:p>
    <w:p>
      <w:pPr>
        <w:shd w:color="EDF2F7" w:val="solid"/>
        <w:spacing w:after="60" w:before="60"/>
        <w:ind w:left="360"/>
      </w:pPr>
      <w:r>
        <w:rPr>
          <w:rFonts w:ascii="Courier New" w:cs="Courier New" w:eastAsia="Courier New" w:hAnsi="Courier New"/>
          <w:color w:val="1A1A2E"/>
          <w:sz w:val="17"/>
          <w:szCs w:val="17"/>
        </w:rPr>
        <w:t xml:space="preserve">    function getCurrentRegime(address asset)</w:t>
      </w:r>
    </w:p>
    <w:p>
      <w:pPr>
        <w:shd w:color="EDF2F7" w:val="solid"/>
        <w:spacing w:after="60" w:before="60"/>
        <w:ind w:left="360"/>
      </w:pPr>
      <w:r>
        <w:rPr>
          <w:rFonts w:ascii="Courier New" w:cs="Courier New" w:eastAsia="Courier New" w:hAnsi="Courier New"/>
          <w:color w:val="1A1A2E"/>
          <w:sz w:val="17"/>
          <w:szCs w:val="17"/>
        </w:rPr>
        <w:t xml:space="preserve">        external view returns (string memory, uint256);</w:t>
      </w:r>
    </w:p>
    <w:p>
      <w:pPr>
        <w:shd w:color="EDF2F7" w:val="solid"/>
        <w:spacing w:after="60" w:before="60"/>
        <w:ind w:left="360"/>
      </w:pPr>
      <w:r>
        <w:rPr>
          <w:rFonts w:ascii="Courier New" w:cs="Courier New" w:eastAsia="Courier New" w:hAnsi="Courier New"/>
          <w:color w:val="1A1A2E"/>
          <w:sz w:val="17"/>
          <w:szCs w:val="17"/>
        </w:rPr>
        <w:t xml:space="preserve"/>
      </w:r>
    </w:p>
    <w:p>
      <w:pPr>
        <w:shd w:color="EDF2F7" w:val="solid"/>
        <w:spacing w:after="60" w:before="60"/>
        <w:ind w:left="360"/>
      </w:pPr>
      <w:r>
        <w:rPr>
          <w:rFonts w:ascii="Courier New" w:cs="Courier New" w:eastAsia="Courier New" w:hAnsi="Courier New"/>
          <w:color w:val="1A1A2E"/>
          <w:sz w:val="17"/>
          <w:szCs w:val="17"/>
        </w:rPr>
        <w:t xml:space="preserve">    function isPolicyIssuanceAllowed(address asset)</w:t>
      </w:r>
    </w:p>
    <w:p>
      <w:pPr>
        <w:shd w:color="EDF2F7" w:val="solid"/>
        <w:spacing w:after="60" w:before="60"/>
        <w:ind w:left="360"/>
      </w:pPr>
      <w:r>
        <w:rPr>
          <w:rFonts w:ascii="Courier New" w:cs="Courier New" w:eastAsia="Courier New" w:hAnsi="Courier New"/>
          <w:color w:val="1A1A2E"/>
          <w:sz w:val="17"/>
          <w:szCs w:val="17"/>
        </w:rPr>
        <w:t xml:space="preserve">        external view returns (bool);</w:t>
      </w:r>
    </w:p>
    <w:p>
      <w:pPr>
        <w:shd w:color="EDF2F7" w:val="solid"/>
        <w:spacing w:after="60" w:before="60"/>
        <w:ind w:left="360"/>
      </w:pPr>
      <w:r>
        <w:rPr>
          <w:rFonts w:ascii="Courier New" w:cs="Courier New" w:eastAsia="Courier New" w:hAnsi="Courier New"/>
          <w:color w:val="1A1A2E"/>
          <w:sz w:val="17"/>
          <w:szCs w:val="17"/>
        </w:rPr>
        <w:t xml:space="preserve">}</w:t>
      </w:r>
    </w:p>
    <w:p>
      <w:pPr>
        <w:spacing w:after="120"/>
      </w:pPr>
    </w:p>
    <w:p>
      <w:pPr>
        <w:pStyle w:val="Heading2"/>
      </w:pPr>
      <w:r>
        <w:rPr>
          <w:b/>
          <w:bCs/>
          <w:color w:val="1A1A2E"/>
          <w:sz w:val="26"/>
          <w:szCs w:val="26"/>
        </w:rPr>
        <w:t xml:space="preserve">Priority 2: HazardCurveEngine Regime Integration</w:t>
      </w:r>
    </w:p>
    <w:p>
      <w:pPr>
        <w:pStyle w:val="ListParagraph"/>
        <w:numPr>
          <w:ilvl w:val="0"/>
          <w:numId w:val="1"/>
        </w:numPr>
        <w:spacing w:after="80"/>
      </w:pPr>
      <w:r>
        <w:rPr>
          <w:color w:val="1A1A2E"/>
          <w:sz w:val="20"/>
          <w:szCs w:val="20"/>
        </w:rPr>
        <w:t xml:space="preserve">Add regimeMultiplier(address asset) — returns premium loading factor</w:t>
      </w:r>
    </w:p>
    <w:p>
      <w:pPr>
        <w:pStyle w:val="ListParagraph"/>
        <w:numPr>
          <w:ilvl w:val="0"/>
          <w:numId w:val="1"/>
        </w:numPr>
        <w:spacing w:after="80"/>
      </w:pPr>
      <w:r>
        <w:rPr>
          <w:color w:val="1A1A2E"/>
          <w:sz w:val="20"/>
          <w:szCs w:val="20"/>
        </w:rPr>
        <w:t xml:space="preserve">Add setRegime(address asset, string regime) — called by OracleAdapter only</w:t>
      </w:r>
    </w:p>
    <w:p>
      <w:pPr>
        <w:pStyle w:val="ListParagraph"/>
        <w:numPr>
          <w:ilvl w:val="0"/>
          <w:numId w:val="1"/>
        </w:numPr>
        <w:spacing w:after="80"/>
      </w:pPr>
      <w:r>
        <w:rPr>
          <w:color w:val="1A1A2E"/>
          <w:sz w:val="20"/>
          <w:szCs w:val="20"/>
        </w:rPr>
        <w:t xml:space="preserve">Lockup enforcement on LP withdrawals</w:t>
      </w:r>
    </w:p>
    <w:p>
      <w:pPr>
        <w:pStyle w:val="ListParagraph"/>
        <w:numPr>
          <w:ilvl w:val="0"/>
          <w:numId w:val="1"/>
        </w:numPr>
        <w:spacing w:after="80"/>
      </w:pPr>
      <w:r>
        <w:rPr>
          <w:color w:val="1A1A2E"/>
          <w:sz w:val="20"/>
          <w:szCs w:val="20"/>
        </w:rPr>
        <w:t xml:space="preserve">Issuance halt when regime = reflexive_collapse</w:t>
      </w:r>
    </w:p>
    <w:p>
      <w:pPr>
        <w:spacing w:after="120"/>
      </w:pPr>
    </w:p>
    <w:p>
      <w:pPr>
        <w:pStyle w:val="Heading2"/>
      </w:pPr>
      <w:r>
        <w:rPr>
          <w:b/>
          <w:bCs/>
          <w:color w:val="1A1A2E"/>
          <w:sz w:val="26"/>
          <w:szCs w:val="26"/>
        </w:rPr>
        <w:t xml:space="preserve">Priority 3: Railway Deployment</w:t>
      </w:r>
    </w:p>
    <w:p>
      <w:pPr>
        <w:pStyle w:val="ListParagraph"/>
        <w:numPr>
          <w:ilvl w:val="0"/>
          <w:numId w:val="1"/>
        </w:numPr>
        <w:spacing w:after="80"/>
      </w:pPr>
      <w:r>
        <w:rPr>
          <w:color w:val="1A1A2E"/>
          <w:sz w:val="20"/>
          <w:szCs w:val="20"/>
        </w:rPr>
        <w:t xml:space="preserve">Procfile: worker: py terminal/runner.py</w:t>
      </w:r>
    </w:p>
    <w:p>
      <w:pPr>
        <w:pStyle w:val="ListParagraph"/>
        <w:numPr>
          <w:ilvl w:val="0"/>
          <w:numId w:val="1"/>
        </w:numPr>
        <w:spacing w:after="80"/>
      </w:pPr>
      <w:r>
        <w:rPr>
          <w:color w:val="1A1A2E"/>
          <w:sz w:val="20"/>
          <w:szCs w:val="20"/>
        </w:rPr>
        <w:t xml:space="preserve">requirements.txt: requests, pandas, pyarrow, numpy, matplotlib, scipy</w:t>
      </w:r>
    </w:p>
    <w:p>
      <w:pPr>
        <w:pStyle w:val="ListParagraph"/>
        <w:numPr>
          <w:ilvl w:val="0"/>
          <w:numId w:val="1"/>
        </w:numPr>
        <w:spacing w:after="80"/>
      </w:pPr>
      <w:r>
        <w:rPr>
          <w:color w:val="1A1A2E"/>
          <w:sz w:val="20"/>
          <w:szCs w:val="20"/>
        </w:rPr>
        <w:t xml:space="preserve">Environment vars: DSRPT_TELEGRAM_TOKEN, DSRPT_TELEGRAM_CHAT</w:t>
      </w:r>
    </w:p>
    <w:p>
      <w:pPr>
        <w:spacing w:after="120"/>
      </w:pPr>
    </w:p>
    <w:p>
      <w:pPr>
        <w:pStyle w:val="Heading2"/>
      </w:pPr>
      <w:r>
        <w:rPr>
          <w:b/>
          <w:bCs/>
          <w:color w:val="1A1A2E"/>
          <w:sz w:val="26"/>
          <w:szCs w:val="26"/>
        </w:rPr>
        <w:t xml:space="preserve">Priority 4: Phase 2 Out-of-Sample Validation</w:t>
      </w:r>
    </w:p>
    <w:p>
      <w:pPr>
        <w:spacing w:after="120"/>
      </w:pPr>
      <w:r>
        <w:rPr>
          <w:color w:val="1A1A2E"/>
          <w:sz w:val="20"/>
          <w:szCs w:val="20"/>
        </w:rPr>
        <w:t xml:space="preserve">Add 5+ events spanning all regime types. Test whether soft prior mean regret beats naive on held-out events. This is the research claim that needs proving before the protocol is defensible.</w:t>
      </w:r>
    </w:p>
    <w:p>
      <w:pPr>
        <w:pBdr>
          <w:bottom w:val="single" w:color="CBD5E0" w:sz="6"/>
        </w:pBdr>
        <w:spacing w:after="160" w:before="160"/>
      </w:pPr>
    </w:p>
    <w:p>
      <w:pPr>
        <w:pStyle w:val="Heading1"/>
      </w:pPr>
      <w:r>
        <w:rPr>
          <w:b/>
          <w:bCs/>
          <w:color w:val="1A1A2E"/>
          <w:sz w:val="32"/>
          <w:szCs w:val="32"/>
        </w:rPr>
        <w:t xml:space="preserve">7. Frozen Benchmarks — Do Not Modify</w:t>
      </w:r>
    </w:p>
    <w:p>
      <w:pPr>
        <w:pBdr>
          <w:left w:val="single" w:color="F5A623" w:sz="20"/>
        </w:pBdr>
        <w:shd w:color="FFFBF0" w:val="solid"/>
        <w:spacing w:after="120" w:before="120"/>
        <w:ind w:left="360"/>
      </w:pPr>
      <w:r>
        <w:rPr>
          <w:b/>
          <w:bCs/>
          <w:color w:val="F5A623"/>
          <w:sz w:val="20"/>
          <w:szCs w:val="20"/>
        </w:rPr>
        <w:t xml:space="preserve">RULE:  </w:t>
      </w:r>
      <w:r>
        <w:rPr>
          <w:color w:val="1A1A2E"/>
          <w:sz w:val="20"/>
          <w:szCs w:val="20"/>
        </w:rPr>
        <w:t xml:space="preserve">Any change to these files requires explicit justification and full re-benchmarking against the baseline.</w:t>
      </w:r>
    </w:p>
    <w:p>
      <w:pPr>
        <w:spacing w:after="120"/>
      </w:pPr>
    </w:p>
    <w:p>
      <w:pPr>
        <w:pStyle w:val="ListParagraph"/>
        <w:numPr>
          <w:ilvl w:val="0"/>
          <w:numId w:val="1"/>
        </w:numPr>
        <w:spacing w:after="80"/>
      </w:pPr>
      <w:r>
        <w:rPr>
          <w:color w:val="1A1A2E"/>
          <w:sz w:val="20"/>
          <w:szCs w:val="20"/>
        </w:rPr>
        <w:t xml:space="preserve">src/regime/classifier_v2.py — feature set + rule thresholds</w:t>
      </w:r>
    </w:p>
    <w:p>
      <w:pPr>
        <w:pStyle w:val="ListParagraph"/>
        <w:numPr>
          <w:ilvl w:val="0"/>
          <w:numId w:val="1"/>
        </w:numPr>
        <w:spacing w:after="80"/>
      </w:pPr>
      <w:r>
        <w:rPr>
          <w:color w:val="1A1A2E"/>
          <w:sz w:val="20"/>
          <w:szCs w:val="20"/>
        </w:rPr>
        <w:t xml:space="preserve">harness_v2_1.py — evaluation protocol</w:t>
      </w:r>
    </w:p>
    <w:p>
      <w:pPr>
        <w:pStyle w:val="ListParagraph"/>
        <w:numPr>
          <w:ilvl w:val="0"/>
          <w:numId w:val="1"/>
        </w:numPr>
        <w:spacing w:after="80"/>
      </w:pPr>
      <w:r>
        <w:rPr>
          <w:color w:val="1A1A2E"/>
          <w:sz w:val="20"/>
          <w:szCs w:val="20"/>
        </w:rPr>
        <w:t xml:space="preserve">output/harness_v2_1/three_way_comparison.csv — baseline regret scores</w:t>
      </w:r>
    </w:p>
    <w:p>
      <w:pPr>
        <w:pStyle w:val="ListParagraph"/>
        <w:numPr>
          <w:ilvl w:val="0"/>
          <w:numId w:val="1"/>
        </w:numPr>
        <w:spacing w:after="80"/>
      </w:pPr>
      <w:r>
        <w:rPr>
          <w:color w:val="1A1A2E"/>
          <w:sz w:val="20"/>
          <w:szCs w:val="20"/>
        </w:rPr>
        <w:t xml:space="preserve">output/proof/dsrpt_proof_chart.png — canonical proof artifact</w:t>
      </w:r>
    </w:p>
    <w:p>
      <w:pPr>
        <w:pStyle w:val="ListParagraph"/>
        <w:numPr>
          <w:ilvl w:val="0"/>
          <w:numId w:val="1"/>
        </w:numPr>
        <w:spacing w:after="80"/>
      </w:pPr>
      <w:r>
        <w:rPr>
          <w:color w:val="1A1A2E"/>
          <w:sz w:val="20"/>
          <w:szCs w:val="20"/>
        </w:rPr>
        <w:t xml:space="preserve">src/scoring/soft_prior.py — penalty matrix v1.0</w:t>
      </w:r>
    </w:p>
    <w:p>
      <w:pPr>
        <w:pBdr>
          <w:bottom w:val="single" w:color="CBD5E0" w:sz="6"/>
        </w:pBdr>
        <w:spacing w:after="160" w:before="160"/>
      </w:pPr>
    </w:p>
    <w:p>
      <w:pPr>
        <w:pStyle w:val="Heading1"/>
      </w:pPr>
      <w:r>
        <w:rPr>
          <w:b/>
          <w:bCs/>
          <w:color w:val="1A1A2E"/>
          <w:sz w:val="32"/>
          <w:szCs w:val="32"/>
        </w:rPr>
        <w:t xml:space="preserve">8. Design Principles — Do Not Violate</w:t>
      </w:r>
    </w:p>
    <w:tbl>
      <w:tblPr>
        <w:tblW w:type="dxa" w:w="9360"/>
        <w:tblBorders>
          <w:top w:val="single" w:color="CBD5E0" w:sz="4"/>
          <w:left w:val="single" w:color="CBD5E0" w:sz="4"/>
          <w:bottom w:val="single" w:color="CBD5E0" w:sz="4"/>
          <w:right w:val="single" w:color="CBD5E0" w:sz="4"/>
          <w:insideH w:val="single" w:color="auto" w:sz="4"/>
          <w:insideV w:val="single" w:color="auto" w:sz="4"/>
        </w:tblBorders>
      </w:tblPr>
      <w:tblGrid>
        <w:gridCol w:w="100"/>
        <w:gridCol w:w="100"/>
      </w:tblGrid>
      <w:tr>
        <w:tc>
          <w:tcPr>
            <w:tcW w:type="dxa" w:w="2800"/>
            <w:shd w:color="1A1A2E" w:val="solid"/>
          </w:tcPr>
          <w:p>
            <w:r>
              <w:rPr>
                <w:b/>
                <w:bCs/>
                <w:color w:val="FFFFFF"/>
                <w:sz w:val="19"/>
                <w:szCs w:val="19"/>
              </w:rPr>
              <w:t xml:space="preserve">Principle</w:t>
            </w:r>
          </w:p>
        </w:tc>
        <w:tc>
          <w:tcPr>
            <w:tcW w:type="dxa" w:w="6560"/>
            <w:shd w:color="1A1A2E" w:val="solid"/>
          </w:tcPr>
          <w:p>
            <w:r>
              <w:rPr>
                <w:b/>
                <w:bCs/>
                <w:color w:val="FFFFFF"/>
                <w:sz w:val="19"/>
                <w:szCs w:val="19"/>
              </w:rPr>
              <w:t xml:space="preserve">Reason</w:t>
            </w:r>
          </w:p>
        </w:tc>
      </w:tr>
      <w:tr>
        <w:tc>
          <w:tcPr>
            <w:tcW w:type="dxa" w:w="2800"/>
          </w:tcPr>
          <w:p>
            <w:r>
              <w:rPr>
                <w:b w:val="false"/>
                <w:bCs w:val="false"/>
                <w:color w:val="1A1A2E"/>
                <w:sz w:val="19"/>
                <w:szCs w:val="19"/>
              </w:rPr>
              <w:t xml:space="preserve">No lookahead in replay</w:t>
            </w:r>
          </w:p>
        </w:tc>
        <w:tc>
          <w:tcPr>
            <w:tcW w:type="dxa" w:w="6560"/>
          </w:tcPr>
          <w:p>
            <w:r>
              <w:rPr>
                <w:b w:val="false"/>
                <w:bCs w:val="false"/>
                <w:color w:val="1A1A2E"/>
                <w:sz w:val="19"/>
                <w:szCs w:val="19"/>
              </w:rPr>
              <w:t xml:space="preserve">WindowManager.insert() rejects out-of-order ticks. Post-hoc filtering is how hindsight bias silently enters replay systems.</w:t>
            </w:r>
          </w:p>
        </w:tc>
      </w:tr>
      <w:tr>
        <w:tc>
          <w:tcPr>
            <w:tcW w:type="dxa" w:w="2800"/>
          </w:tcPr>
          <w:p>
            <w:r>
              <w:rPr>
                <w:b w:val="false"/>
                <w:bCs w:val="false"/>
                <w:color w:val="1A1A2E"/>
                <w:sz w:val="19"/>
                <w:szCs w:val="19"/>
              </w:rPr>
              <w:t xml:space="preserve">Volume collapse ≠ recovery</w:t>
            </w:r>
          </w:p>
        </w:tc>
        <w:tc>
          <w:tcPr>
            <w:tcW w:type="dxa" w:w="6560"/>
          </w:tcPr>
          <w:p>
            <w:r>
              <w:rPr>
                <w:b w:val="false"/>
                <w:bCs w:val="false"/>
                <w:color w:val="1A1A2E"/>
                <w:sz w:val="19"/>
                <w:szCs w:val="19"/>
              </w:rPr>
              <w:t xml:space="preserve">abandonment_signal exists because a dead asset with zero volume looks like a recovered asset to naive calculations. Always use rolling-window normalization.</w:t>
            </w:r>
          </w:p>
        </w:tc>
      </w:tr>
      <w:tr>
        <w:tc>
          <w:tcPr>
            <w:tcW w:type="dxa" w:w="2800"/>
          </w:tcPr>
          <w:p>
            <w:r>
              <w:rPr>
                <w:b w:val="false"/>
                <w:bCs w:val="false"/>
                <w:color w:val="1A1A2E"/>
                <w:sz w:val="19"/>
                <w:szCs w:val="19"/>
              </w:rPr>
              <w:t xml:space="preserve">Ambiguous is valid</w:t>
            </w:r>
          </w:p>
        </w:tc>
        <w:tc>
          <w:tcPr>
            <w:tcW w:type="dxa" w:w="6560"/>
          </w:tcPr>
          <w:p>
            <w:r>
              <w:rPr>
                <w:b w:val="false"/>
                <w:bCs w:val="false"/>
                <w:color w:val="1A1A2E"/>
                <w:sz w:val="19"/>
                <w:szCs w:val="19"/>
              </w:rPr>
              <w:t xml:space="preserve">Ambiguous → zero penalty spread → full search space → conservative capital allocation. Do not force classification.</w:t>
            </w:r>
          </w:p>
        </w:tc>
      </w:tr>
      <w:tr>
        <w:tc>
          <w:tcPr>
            <w:tcW w:type="dxa" w:w="2800"/>
          </w:tcPr>
          <w:p>
            <w:r>
              <w:rPr>
                <w:b w:val="false"/>
                <w:bCs w:val="false"/>
                <w:color w:val="1A1A2E"/>
                <w:sz w:val="19"/>
                <w:szCs w:val="19"/>
              </w:rPr>
              <w:t xml:space="preserve">Signal = pricing oracle</w:t>
            </w:r>
          </w:p>
        </w:tc>
        <w:tc>
          <w:tcPr>
            <w:tcW w:type="dxa" w:w="6560"/>
          </w:tcPr>
          <w:p>
            <w:r>
              <w:rPr>
                <w:b w:val="false"/>
                <w:bCs w:val="false"/>
                <w:color w:val="1A1A2E"/>
                <w:sz w:val="19"/>
                <w:szCs w:val="19"/>
              </w:rPr>
              <w:t xml:space="preserve">The gap between terminal knows and protocol reprices is the attack surface. Every decision must close this gap.</w:t>
            </w:r>
          </w:p>
        </w:tc>
      </w:tr>
      <w:tr>
        <w:tc>
          <w:tcPr>
            <w:tcW w:type="dxa" w:w="2800"/>
          </w:tcPr>
          <w:p>
            <w:r>
              <w:rPr>
                <w:b w:val="false"/>
                <w:bCs w:val="false"/>
                <w:color w:val="1A1A2E"/>
                <w:sz w:val="19"/>
                <w:szCs w:val="19"/>
              </w:rPr>
              <w:t xml:space="preserve">Naive wins in-sample</w:t>
            </w:r>
          </w:p>
        </w:tc>
        <w:tc>
          <w:tcPr>
            <w:tcW w:type="dxa" w:w="6560"/>
          </w:tcPr>
          <w:p>
            <w:r>
              <w:rPr>
                <w:b w:val="false"/>
                <w:bCs w:val="false"/>
                <w:color w:val="1A1A2E"/>
                <w:sz w:val="19"/>
                <w:szCs w:val="19"/>
              </w:rPr>
              <w:t xml:space="preserve">Do not tune parameters to make soft prior beat naive on the same 3 events used to design the priors. That is overfitting.</w:t>
            </w:r>
          </w:p>
        </w:tc>
      </w:tr>
    </w:tbl>
    <w:p>
      <w:pPr>
        <w:pBdr>
          <w:bottom w:val="single" w:color="CBD5E0" w:sz="6"/>
        </w:pBdr>
        <w:spacing w:after="160" w:before="160"/>
      </w:pPr>
    </w:p>
    <w:p>
      <w:pPr>
        <w:pStyle w:val="Heading1"/>
      </w:pPr>
      <w:r>
        <w:rPr>
          <w:b/>
          <w:bCs/>
          <w:color w:val="1A1A2E"/>
          <w:sz w:val="32"/>
          <w:szCs w:val="32"/>
        </w:rPr>
        <w:t xml:space="preserve">9. Claude Code Session Kickoff</w:t>
      </w:r>
    </w:p>
    <w:p>
      <w:pPr>
        <w:spacing w:after="120"/>
      </w:pPr>
      <w:r>
        <w:rPr>
          <w:color w:val="1A1A2E"/>
          <w:sz w:val="20"/>
          <w:szCs w:val="20"/>
        </w:rPr>
        <w:t xml:space="preserve">Copy this into Claude Code to start the next session:</w:t>
      </w:r>
    </w:p>
    <w:p>
      <w:pPr>
        <w:spacing w:after="80"/>
      </w:pPr>
    </w:p>
    <w:p>
      <w:pPr>
        <w:shd w:color="EDF2F7" w:val="solid"/>
        <w:spacing w:after="60" w:before="60"/>
        <w:ind w:left="360"/>
      </w:pPr>
      <w:r>
        <w:rPr>
          <w:rFonts w:ascii="Courier New" w:cs="Courier New" w:eastAsia="Courier New" w:hAnsi="Courier New"/>
          <w:color w:val="1A1A2E"/>
          <w:sz w:val="17"/>
          <w:szCs w:val="17"/>
        </w:rPr>
        <w:t xml:space="preserve">Read these files in order:</w:t>
      </w:r>
    </w:p>
    <w:p>
      <w:pPr>
        <w:shd w:color="EDF2F7" w:val="solid"/>
        <w:spacing w:after="60" w:before="60"/>
        <w:ind w:left="360"/>
      </w:pPr>
      <w:r>
        <w:rPr>
          <w:rFonts w:ascii="Courier New" w:cs="Courier New" w:eastAsia="Courier New" w:hAnsi="Courier New"/>
          <w:color w:val="1A1A2E"/>
          <w:sz w:val="17"/>
          <w:szCs w:val="17"/>
        </w:rPr>
        <w:t xml:space="preserve">1. src/regime/classifier_v2.py</w:t>
      </w:r>
    </w:p>
    <w:p>
      <w:pPr>
        <w:shd w:color="EDF2F7" w:val="solid"/>
        <w:spacing w:after="60" w:before="60"/>
        <w:ind w:left="360"/>
      </w:pPr>
      <w:r>
        <w:rPr>
          <w:rFonts w:ascii="Courier New" w:cs="Courier New" w:eastAsia="Courier New" w:hAnsi="Courier New"/>
          <w:color w:val="1A1A2E"/>
          <w:sz w:val="17"/>
          <w:szCs w:val="17"/>
        </w:rPr>
        <w:t xml:space="preserve">2. src/pipeline/rl_surface.py</w:t>
      </w:r>
    </w:p>
    <w:p>
      <w:pPr>
        <w:shd w:color="EDF2F7" w:val="solid"/>
        <w:spacing w:after="60" w:before="60"/>
        <w:ind w:left="360"/>
      </w:pPr>
      <w:r>
        <w:rPr>
          <w:rFonts w:ascii="Courier New" w:cs="Courier New" w:eastAsia="Courier New" w:hAnsi="Courier New"/>
          <w:color w:val="1A1A2E"/>
          <w:sz w:val="17"/>
          <w:szCs w:val="17"/>
        </w:rPr>
        <w:t xml:space="preserve">3. terminal/src/signal_engine.py</w:t>
      </w:r>
    </w:p>
    <w:p>
      <w:pPr>
        <w:shd w:color="EDF2F7" w:val="solid"/>
        <w:spacing w:after="60" w:before="60"/>
        <w:ind w:left="360"/>
      </w:pPr>
      <w:r>
        <w:rPr>
          <w:rFonts w:ascii="Courier New" w:cs="Courier New" w:eastAsia="Courier New" w:hAnsi="Courier New"/>
          <w:color w:val="1A1A2E"/>
          <w:sz w:val="17"/>
          <w:szCs w:val="17"/>
        </w:rPr>
        <w:t xml:space="preserve">4. terminal/runner.py</w:t>
      </w:r>
    </w:p>
    <w:p>
      <w:pPr>
        <w:shd w:color="EDF2F7" w:val="solid"/>
        <w:spacing w:after="60" w:before="60"/>
        <w:ind w:left="360"/>
      </w:pPr>
      <w:r>
        <w:rPr>
          <w:rFonts w:ascii="Courier New" w:cs="Courier New" w:eastAsia="Courier New" w:hAnsi="Courier New"/>
          <w:color w:val="1A1A2E"/>
          <w:sz w:val="17"/>
          <w:szCs w:val="17"/>
        </w:rPr>
        <w:t xml:space="preserve"/>
      </w:r>
    </w:p>
    <w:p>
      <w:pPr>
        <w:shd w:color="EDF2F7" w:val="solid"/>
        <w:spacing w:after="60" w:before="60"/>
        <w:ind w:left="360"/>
      </w:pPr>
      <w:r>
        <w:rPr>
          <w:rFonts w:ascii="Courier New" w:cs="Courier New" w:eastAsia="Courier New" w:hAnsi="Courier New"/>
          <w:color w:val="1A1A2E"/>
          <w:sz w:val="17"/>
          <w:szCs w:val="17"/>
        </w:rPr>
        <w:t xml:space="preserve">Then build contracts/OracleAdapter.sol that:</w:t>
      </w:r>
    </w:p>
    <w:p>
      <w:pPr>
        <w:shd w:color="EDF2F7" w:val="solid"/>
        <w:spacing w:after="60" w:before="60"/>
        <w:ind w:left="360"/>
      </w:pPr>
      <w:r>
        <w:rPr>
          <w:rFonts w:ascii="Courier New" w:cs="Courier New" w:eastAsia="Courier New" w:hAnsi="Courier New"/>
          <w:color w:val="1A1A2E"/>
          <w:sz w:val="17"/>
          <w:szCs w:val="17"/>
        </w:rPr>
        <w:t xml:space="preserve">- Receives regime state from the signal engine</w:t>
      </w:r>
    </w:p>
    <w:p>
      <w:pPr>
        <w:shd w:color="EDF2F7" w:val="solid"/>
        <w:spacing w:after="60" w:before="60"/>
        <w:ind w:left="360"/>
      </w:pPr>
      <w:r>
        <w:rPr>
          <w:rFonts w:ascii="Courier New" w:cs="Courier New" w:eastAsia="Courier New" w:hAnsi="Courier New"/>
          <w:color w:val="1A1A2E"/>
          <w:sz w:val="17"/>
          <w:szCs w:val="17"/>
        </w:rPr>
        <w:t xml:space="preserve">- Updates HazardCurveEngine pricing atomically</w:t>
      </w:r>
    </w:p>
    <w:p>
      <w:pPr>
        <w:shd w:color="EDF2F7" w:val="solid"/>
        <w:spacing w:after="60" w:before="60"/>
        <w:ind w:left="360"/>
      </w:pPr>
      <w:r>
        <w:rPr>
          <w:rFonts w:ascii="Courier New" w:cs="Courier New" w:eastAsia="Courier New" w:hAnsi="Courier New"/>
          <w:color w:val="1A1A2E"/>
          <w:sz w:val="17"/>
          <w:szCs w:val="17"/>
        </w:rPr>
        <w:t xml:space="preserve">- Enforces premium loading by regime (see briefing section 6)</w:t>
      </w:r>
    </w:p>
    <w:p>
      <w:pPr>
        <w:shd w:color="EDF2F7" w:val="solid"/>
        <w:spacing w:after="60" w:before="60"/>
        <w:ind w:left="360"/>
      </w:pPr>
      <w:r>
        <w:rPr>
          <w:rFonts w:ascii="Courier New" w:cs="Courier New" w:eastAsia="Courier New" w:hAnsi="Courier New"/>
          <w:color w:val="1A1A2E"/>
          <w:sz w:val="17"/>
          <w:szCs w:val="17"/>
        </w:rPr>
        <w:t xml:space="preserve">- Blocks new policy issuance during ESCALATING/CRITICAL</w:t>
      </w:r>
    </w:p>
    <w:p>
      <w:pPr>
        <w:shd w:color="EDF2F7" w:val="solid"/>
        <w:spacing w:after="60" w:before="60"/>
        <w:ind w:left="360"/>
      </w:pPr>
      <w:r>
        <w:rPr>
          <w:rFonts w:ascii="Courier New" w:cs="Courier New" w:eastAsia="Courier New" w:hAnsi="Courier New"/>
          <w:color w:val="1A1A2E"/>
          <w:sz w:val="17"/>
          <w:szCs w:val="17"/>
        </w:rPr>
        <w:t xml:space="preserve">- Enforces 72h LP withdrawal lockup after regime transition</w:t>
      </w:r>
    </w:p>
    <w:p>
      <w:pPr>
        <w:shd w:color="EDF2F7" w:val="solid"/>
        <w:spacing w:after="60" w:before="60"/>
        <w:ind w:left="360"/>
      </w:pPr>
      <w:r>
        <w:rPr>
          <w:rFonts w:ascii="Courier New" w:cs="Courier New" w:eastAsia="Courier New" w:hAnsi="Courier New"/>
          <w:color w:val="1A1A2E"/>
          <w:sz w:val="17"/>
          <w:szCs w:val="17"/>
        </w:rPr>
        <w:t xml:space="preserve"/>
      </w:r>
    </w:p>
    <w:p>
      <w:pPr>
        <w:shd w:color="EDF2F7" w:val="solid"/>
        <w:spacing w:after="60" w:before="60"/>
        <w:ind w:left="360"/>
      </w:pPr>
      <w:r>
        <w:rPr>
          <w:rFonts w:ascii="Courier New" w:cs="Courier New" w:eastAsia="Courier New" w:hAnsi="Courier New"/>
          <w:color w:val="1A1A2E"/>
          <w:sz w:val="17"/>
          <w:szCs w:val="17"/>
        </w:rPr>
        <w:t xml:space="preserve">Critical constraint: zero latency between signal and pricing update.</w:t>
      </w:r>
    </w:p>
    <w:p>
      <w:pPr>
        <w:shd w:color="EDF2F7" w:val="solid"/>
        <w:spacing w:after="60" w:before="60"/>
        <w:ind w:left="360"/>
      </w:pPr>
      <w:r>
        <w:rPr>
          <w:rFonts w:ascii="Courier New" w:cs="Courier New" w:eastAsia="Courier New" w:hAnsi="Courier New"/>
          <w:color w:val="1A1A2E"/>
          <w:sz w:val="17"/>
          <w:szCs w:val="17"/>
        </w:rPr>
        <w:t xml:space="preserve">The gap between these two is the adverse selection attack surface.</w:t>
      </w:r>
    </w:p>
    <w:p>
      <w:pPr>
        <w:pBdr>
          <w:bottom w:val="single" w:color="CBD5E0" w:sz="6"/>
        </w:pBdr>
        <w:spacing w:after="160" w:before="160"/>
      </w:pPr>
    </w:p>
    <w:p>
      <w:pPr>
        <w:spacing w:before="240"/>
      </w:pPr>
    </w:p>
    <w:p>
      <w:pPr>
        <w:pBdr>
          <w:left w:val="single" w:color="00D4FF" w:sz="20"/>
        </w:pBdr>
        <w:ind w:left="360"/>
      </w:pPr>
      <w:r>
        <w:rPr>
          <w:i/>
          <w:iCs/>
          <w:color w:val="6B7494"/>
          <w:sz w:val="18"/>
          <w:szCs w:val="18"/>
        </w:rPr>
        <w:t xml:space="preserve">Dsrpt is a regime-aware parametric insurance protocol for stablecoin depeg risk. The signal layer (terminal) provides early warning to LPs. The protocol layer (smart contracts) must reprice atomically on every signal transition. The gap between signal and repricing is the primary attack surface — close it first.</w:t>
      </w:r>
    </w:p>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ourier New" w:cs="Courier New" w:eastAsia="Courier New" w:hAnsi="Courier New"/>
        <w:color w:val="6B7494"/>
        <w:sz w:val="16"/>
        <w:szCs w:val="16"/>
      </w:rPr>
      <w:t xml:space="preserve">DSRPT TERMINAL  —  CLAUDE CODE BRIEFING</w:t>
    </w:r>
    <w:r>
      <w:rPr>
        <w:color w:val="6B7494"/>
        <w:sz w:val="16"/>
        <w:szCs w:val="16"/>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2026-03-26T11:53:46.302Z</dcterms:created>
  <dcterms:modified xsi:type="dcterms:W3CDTF">2026-03-26T11:53:46.303Z</dcterms:modified>
</cp:coreProperties>
</file>

<file path=docProps/custom.xml><?xml version="1.0" encoding="utf-8"?>
<Properties xmlns="http://schemas.openxmlformats.org/officeDocument/2006/custom-properties" xmlns:vt="http://schemas.openxmlformats.org/officeDocument/2006/docPropsVTypes"/>
</file>