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5B44F5">
        <w:rPr>
          <w:i/>
          <w:lang w:val="en-US"/>
        </w:rPr>
        <w:t>2</w:t>
      </w:r>
      <w:r>
        <w:rPr>
          <w:i/>
          <w:lang w:val="en-US"/>
        </w:rPr>
        <w:t>-</w:t>
      </w:r>
      <w:r w:rsidR="006C33CE">
        <w:rPr>
          <w:i/>
          <w:lang w:val="en-US"/>
        </w:rPr>
        <w:t>2</w:t>
      </w:r>
      <w:r w:rsidR="005B44F5">
        <w:rPr>
          <w:i/>
          <w:lang w:val="en-US"/>
        </w:rPr>
        <w:t>1</w:t>
      </w:r>
      <w:r>
        <w:rPr>
          <w:i/>
          <w:lang w:val="en-US"/>
        </w:rPr>
        <w:t>-201</w:t>
      </w:r>
      <w:r w:rsidR="005B44F5">
        <w:rPr>
          <w:i/>
          <w:lang w:val="en-US"/>
        </w:rPr>
        <w:t>9</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int32_t CapControlsI(int32_t Parameter, int32_t Argument);</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double CapControlsF(int32_t Parameter, double Argument);</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double CircuitF(int32_t Parameter, double Argument1, double Argument2);</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CStr CircuitS(int32_t Parameter, CStr Argument);</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lastRenderedPageBreak/>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w:t>
      </w:r>
      <w:bookmarkStart w:id="0" w:name="_GoBack"/>
      <w:bookmarkEnd w:id="0"/>
      <w:r>
        <w:rPr>
          <w:lang w:val="en-US"/>
        </w:rPr>
        <w:t>)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lastRenderedPageBreak/>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lastRenderedPageBreak/>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856" w:rsidRDefault="00F75856" w:rsidP="0027346C">
      <w:pPr>
        <w:spacing w:after="0" w:line="240" w:lineRule="auto"/>
      </w:pPr>
      <w:r>
        <w:separator/>
      </w:r>
    </w:p>
  </w:endnote>
  <w:endnote w:type="continuationSeparator" w:id="0">
    <w:p w:rsidR="00F75856" w:rsidRDefault="00F75856"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856" w:rsidRDefault="00F75856" w:rsidP="0027346C">
      <w:pPr>
        <w:spacing w:after="0" w:line="240" w:lineRule="auto"/>
      </w:pPr>
      <w:r>
        <w:separator/>
      </w:r>
    </w:p>
  </w:footnote>
  <w:footnote w:type="continuationSeparator" w:id="0">
    <w:p w:rsidR="00F75856" w:rsidRDefault="00F75856"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C0FF"/>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45796-F5E4-470D-B721-8838A87E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98</Pages>
  <Words>30646</Words>
  <Characters>174684</Characters>
  <Application>Microsoft Office Word</Application>
  <DocSecurity>0</DocSecurity>
  <Lines>1455</Lines>
  <Paragraphs>409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573</cp:revision>
  <cp:lastPrinted>2017-09-27T18:25:00Z</cp:lastPrinted>
  <dcterms:created xsi:type="dcterms:W3CDTF">2015-10-21T23:16:00Z</dcterms:created>
  <dcterms:modified xsi:type="dcterms:W3CDTF">2019-03-18T20:54:00Z</dcterms:modified>
</cp:coreProperties>
</file>