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03-cqunews-需求说明书</w:t>
      </w:r>
      <w:r>
        <w:rPr>
          <w:rFonts w:eastAsia="等线" w:ascii="Arial" w:cs="Arial" w:hAnsi="Arial"/>
          <w:b w:val="true"/>
          <w:sz w:val="52"/>
        </w:rPr>
        <w:t xml:space="preserve"> 副本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《</w:t>
      </w:r>
      <w:r>
        <w:rPr>
          <w:rFonts w:eastAsia="等线" w:ascii="Arial" w:cs="Arial" w:hAnsi="Arial"/>
          <w:b w:val="true"/>
          <w:sz w:val="36"/>
        </w:rPr>
        <w:t>CQUNEWS</w:t>
      </w:r>
      <w:r>
        <w:rPr>
          <w:rFonts w:eastAsia="等线" w:ascii="Arial" w:cs="Arial" w:hAnsi="Arial"/>
          <w:b w:val="true"/>
          <w:sz w:val="36"/>
        </w:rPr>
        <w:t>项目系统》</w:t>
      </w:r>
      <w:bookmarkEnd w:id="0"/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用 户 需 求 说 明 书</w:t>
      </w:r>
      <w:bookmarkEnd w:id="1"/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v1.0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cqunews</w:t>
      </w:r>
      <w:r>
        <w:rPr>
          <w:rFonts w:eastAsia="等线" w:ascii="Arial" w:cs="Arial" w:hAnsi="Arial"/>
          <w:sz w:val="22"/>
        </w:rPr>
        <w:t>系统有限公司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380"/>
      </w:tblGrid>
      <w:tr>
        <w:tc>
          <w:tcPr>
            <w:tcW w:w="7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b w:val="true"/>
          <w:color w:val="245bdb"/>
          <w:sz w:val="22"/>
        </w:rPr>
        <w:t>版 本 历 史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0"/>
        <w:gridCol w:w="1095"/>
        <w:gridCol w:w="675"/>
        <w:gridCol w:w="1500"/>
        <w:gridCol w:w="4230"/>
      </w:tblGrid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  <w:shd w:fill="4e83fd"/>
              </w:rPr>
              <w:t>版本/状态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  <w:shd w:fill="4e83fd"/>
              </w:rPr>
              <w:t>作者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  <w:shd w:fill="4e83fd"/>
              </w:rPr>
              <w:t>参与者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  <w:shd w:fill="4e83fd"/>
              </w:rPr>
              <w:t>日期</w:t>
            </w:r>
          </w:p>
        </w:tc>
        <w:tc>
          <w:tcPr>
            <w:tcW w:w="4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  <w:shd w:fill="4e83fd"/>
              </w:rPr>
              <w:t>备注</w:t>
            </w:r>
          </w:p>
        </w:tc>
      </w:tr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4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4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4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4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4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目   录</w:t>
      </w:r>
      <w:bookmarkEnd w:id="2"/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 xml:space="preserve"> 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第一部分 引言</w:t>
      </w:r>
      <w:r>
        <w:rPr>
          <w:rFonts w:eastAsia="等线" w:ascii="Arial" w:cs="Arial" w:hAnsi="Arial"/>
          <w:sz w:val="22"/>
        </w:rPr>
        <w:t>................................................................................................. 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一、说明</w:t>
      </w:r>
      <w:r>
        <w:rPr>
          <w:rFonts w:eastAsia="等线" w:ascii="Arial" w:cs="Arial" w:hAnsi="Arial"/>
          <w:sz w:val="22"/>
        </w:rPr>
        <w:t>................................................................................................... 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二、定义</w:t>
      </w:r>
      <w:r>
        <w:rPr>
          <w:rFonts w:eastAsia="等线" w:ascii="Arial" w:cs="Arial" w:hAnsi="Arial"/>
          <w:sz w:val="22"/>
        </w:rPr>
        <w:t>................................................................................................... 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第二部分 综述</w:t>
      </w:r>
      <w:r>
        <w:rPr>
          <w:rFonts w:eastAsia="等线" w:ascii="Arial" w:cs="Arial" w:hAnsi="Arial"/>
          <w:sz w:val="22"/>
        </w:rPr>
        <w:t>................................................................................................. 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一、项目背景</w:t>
      </w:r>
      <w:r>
        <w:rPr>
          <w:rFonts w:eastAsia="等线" w:ascii="Arial" w:cs="Arial" w:hAnsi="Arial"/>
          <w:sz w:val="22"/>
        </w:rPr>
        <w:t>.......................................................................................... 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二、建设目标</w:t>
      </w:r>
      <w:r>
        <w:rPr>
          <w:rFonts w:eastAsia="等线" w:ascii="Arial" w:cs="Arial" w:hAnsi="Arial"/>
          <w:sz w:val="22"/>
        </w:rPr>
        <w:t>.......................................................................................... 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三、建设原则</w:t>
      </w:r>
      <w:r>
        <w:rPr>
          <w:rFonts w:eastAsia="等线" w:ascii="Arial" w:cs="Arial" w:hAnsi="Arial"/>
          <w:sz w:val="22"/>
        </w:rPr>
        <w:t>.......................................................................................... 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四、用户业务需求说明</w:t>
      </w:r>
      <w:r>
        <w:rPr>
          <w:rFonts w:eastAsia="等线" w:ascii="Arial" w:cs="Arial" w:hAnsi="Arial"/>
          <w:sz w:val="22"/>
        </w:rPr>
        <w:t>.......................................................................... 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1、整体业务需求示意图</w:t>
      </w:r>
      <w:r>
        <w:rPr>
          <w:rFonts w:eastAsia="等线" w:ascii="Arial" w:cs="Arial" w:hAnsi="Arial"/>
          <w:sz w:val="22"/>
        </w:rPr>
        <w:t>............................................................... 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2、需求详细说明</w:t>
      </w:r>
      <w:r>
        <w:rPr>
          <w:rFonts w:eastAsia="等线" w:ascii="Arial" w:cs="Arial" w:hAnsi="Arial"/>
          <w:sz w:val="22"/>
        </w:rPr>
        <w:t>............................................................................ 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2.1.</w:t>
      </w:r>
      <w:r>
        <w:rPr>
          <w:rFonts w:eastAsia="等线" w:ascii="Arial" w:cs="Arial" w:hAnsi="Arial"/>
          <w:sz w:val="22"/>
        </w:rPr>
        <w:t xml:space="preserve">    </w:t>
      </w:r>
      <w:r>
        <w:rPr>
          <w:rFonts w:eastAsia="等线" w:ascii="Arial" w:cs="Arial" w:hAnsi="Arial"/>
          <w:color w:val="245bdb"/>
          <w:sz w:val="22"/>
        </w:rPr>
        <w:t>XXXX业务流程描述</w:t>
      </w:r>
      <w:r>
        <w:rPr>
          <w:rFonts w:eastAsia="等线" w:ascii="Arial" w:cs="Arial" w:hAnsi="Arial"/>
          <w:sz w:val="22"/>
        </w:rPr>
        <w:t>.................................................... 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1）、XXXXX</w:t>
      </w:r>
      <w:r>
        <w:rPr>
          <w:rFonts w:eastAsia="等线" w:ascii="Arial" w:cs="Arial" w:hAnsi="Arial"/>
          <w:sz w:val="22"/>
        </w:rPr>
        <w:t>........................................................................ 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2）、XXXXXX</w:t>
      </w:r>
      <w:r>
        <w:rPr>
          <w:rFonts w:eastAsia="等线" w:ascii="Arial" w:cs="Arial" w:hAnsi="Arial"/>
          <w:sz w:val="22"/>
        </w:rPr>
        <w:t>..................................................................... 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第三部分 需求分析</w:t>
      </w:r>
      <w:r>
        <w:rPr>
          <w:rFonts w:eastAsia="等线" w:ascii="Arial" w:cs="Arial" w:hAnsi="Arial"/>
          <w:sz w:val="22"/>
        </w:rPr>
        <w:t>........................................................................................ 7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一、用例分析</w:t>
      </w:r>
      <w:r>
        <w:rPr>
          <w:rFonts w:eastAsia="等线" w:ascii="Arial" w:cs="Arial" w:hAnsi="Arial"/>
          <w:sz w:val="22"/>
        </w:rPr>
        <w:t>.......................................................................................... 7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1、 XXXX用例</w:t>
      </w:r>
      <w:r>
        <w:rPr>
          <w:rFonts w:eastAsia="等线" w:ascii="Arial" w:cs="Arial" w:hAnsi="Arial"/>
          <w:sz w:val="22"/>
        </w:rPr>
        <w:t>................................................................................. 7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1.1、XXXX用例描述</w:t>
      </w:r>
      <w:r>
        <w:rPr>
          <w:rFonts w:eastAsia="等线" w:ascii="Arial" w:cs="Arial" w:hAnsi="Arial"/>
          <w:sz w:val="22"/>
        </w:rPr>
        <w:t>.............................................................. 7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二、界面风格</w:t>
      </w:r>
      <w:r>
        <w:rPr>
          <w:rFonts w:eastAsia="等线" w:ascii="Arial" w:cs="Arial" w:hAnsi="Arial"/>
          <w:sz w:val="22"/>
        </w:rPr>
        <w:t>.......................................................................................... 7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第四部分 验收标准</w:t>
      </w:r>
      <w:r>
        <w:rPr>
          <w:rFonts w:eastAsia="等线" w:ascii="Arial" w:cs="Arial" w:hAnsi="Arial"/>
          <w:sz w:val="22"/>
        </w:rPr>
        <w:t>........................................................................................ 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一、功能范围定义</w:t>
      </w:r>
      <w:r>
        <w:rPr>
          <w:rFonts w:eastAsia="等线" w:ascii="Arial" w:cs="Arial" w:hAnsi="Arial"/>
          <w:sz w:val="22"/>
        </w:rPr>
        <w:t>.................................................................................. 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二、性能指标定义</w:t>
      </w:r>
      <w:r>
        <w:rPr>
          <w:rFonts w:eastAsia="等线" w:ascii="Arial" w:cs="Arial" w:hAnsi="Arial"/>
          <w:sz w:val="22"/>
        </w:rPr>
        <w:t>.................................................................................. 9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第五部分 环境和部署要求</w:t>
      </w:r>
      <w:r>
        <w:rPr>
          <w:rFonts w:eastAsia="等线" w:ascii="Arial" w:cs="Arial" w:hAnsi="Arial"/>
          <w:sz w:val="22"/>
        </w:rPr>
        <w:t>.......................................................................... 11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一、网络部署图</w:t>
      </w:r>
      <w:r>
        <w:rPr>
          <w:rFonts w:eastAsia="等线" w:ascii="Arial" w:cs="Arial" w:hAnsi="Arial"/>
          <w:sz w:val="22"/>
        </w:rPr>
        <w:t>.................................................................................... 11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二、应用部署图</w:t>
      </w:r>
      <w:r>
        <w:rPr>
          <w:rFonts w:eastAsia="等线" w:ascii="Arial" w:cs="Arial" w:hAnsi="Arial"/>
          <w:sz w:val="22"/>
        </w:rPr>
        <w:t>.................................................................................... 11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三、其他XXXXX部署</w:t>
      </w:r>
      <w:r>
        <w:rPr>
          <w:rFonts w:eastAsia="等线" w:ascii="Arial" w:cs="Arial" w:hAnsi="Arial"/>
          <w:sz w:val="22"/>
        </w:rPr>
        <w:t>............................................................................ 11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四、运行环境说明</w:t>
      </w:r>
      <w:r>
        <w:rPr>
          <w:rFonts w:eastAsia="等线" w:ascii="Arial" w:cs="Arial" w:hAnsi="Arial"/>
          <w:sz w:val="22"/>
        </w:rPr>
        <w:t>................................................................................ 12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1、服务器</w:t>
      </w:r>
      <w:r>
        <w:rPr>
          <w:rFonts w:eastAsia="等线" w:ascii="Arial" w:cs="Arial" w:hAnsi="Arial"/>
          <w:sz w:val="22"/>
        </w:rPr>
        <w:t>...................................................................................... 12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2、客户机器环境</w:t>
      </w:r>
      <w:r>
        <w:rPr>
          <w:rFonts w:eastAsia="等线" w:ascii="Arial" w:cs="Arial" w:hAnsi="Arial"/>
          <w:sz w:val="22"/>
        </w:rPr>
        <w:t>.......................................................................... 12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3、xxxx其他环境</w:t>
      </w:r>
      <w:r>
        <w:rPr>
          <w:rFonts w:eastAsia="等线" w:ascii="Arial" w:cs="Arial" w:hAnsi="Arial"/>
          <w:sz w:val="22"/>
        </w:rPr>
        <w:t>........................................................................ 12</w:t>
      </w: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4" w:id="4"/>
      <w:r>
        <w:rPr>
          <w:rFonts w:eastAsia="等线" w:ascii="Arial" w:cs="Arial" w:hAnsi="Arial"/>
          <w:b w:val="true"/>
          <w:color w:val="8f959e"/>
          <w:sz w:val="36"/>
        </w:rPr>
        <w:t xml:space="preserve"> </w:t>
      </w:r>
      <w:bookmarkEnd w:id="4"/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5" w:id="5"/>
      <w:r>
        <w:rPr>
          <w:rFonts w:eastAsia="等线" w:ascii="Arial" w:cs="Arial" w:hAnsi="Arial"/>
          <w:b w:val="true"/>
          <w:color w:val="8f959e"/>
          <w:sz w:val="36"/>
        </w:rPr>
        <w:t xml:space="preserve"> </w:t>
      </w:r>
      <w:bookmarkEnd w:id="5"/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6" w:id="6"/>
      <w:r>
        <w:rPr>
          <w:rFonts w:eastAsia="等线" w:ascii="Arial" w:cs="Arial" w:hAnsi="Arial"/>
          <w:b w:val="true"/>
          <w:color w:val="8f959e"/>
          <w:sz w:val="36"/>
        </w:rPr>
        <w:t xml:space="preserve"> </w:t>
      </w:r>
      <w:bookmarkEnd w:id="6"/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7" w:id="7"/>
      <w:r>
        <w:rPr>
          <w:rFonts w:eastAsia="等线" w:ascii="Arial" w:cs="Arial" w:hAnsi="Arial"/>
          <w:b w:val="true"/>
          <w:color w:val="8f959e"/>
          <w:sz w:val="36"/>
        </w:rPr>
        <w:t>第一部分 引言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一、说明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目的明确新闻内容智能摘要与标题生成系统全部业务、功能、性能、部署需求，作为研发开发、测试验收、项目交付依据编写作者产品部确认人员内容运营负责人、技术负责人、项目负责人目标读者开发工程师、测试工程师、运维人员、产品、内容编辑、项目甲方对接人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二、定义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舆情分析 (Public Opinion Analysis)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指通过对互联网海量新闻、社交媒体信息的自动采集与识别，判断当前网络舆论的走向、情感倾向（正面/负面/中性）以及传播热度的过程。本平台中特指对新闻事件的综合态势感知。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事件追踪 (Event Tracking)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指利用自然语言处理技术，将关于同一核心主题的分散新闻稿件进行自动聚类，并按时间轴梳理出事件的发展脉络（Timeline），形成完整的事件演化图谱。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词云 (Word Cloud)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指对特定来源或时间段内的文本数据进行分词和词频统计，将高频词汇以视觉化的图形方式展示，直观反映当前的舆论焦点。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金融情报信号 (Financial Signal)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指从非结构化新闻文本中提取的对金融市场有潜在影响的实体（如上市公司）、政策（如监管新规）及情绪指标，为金融创业者或投研人员提供决策辅助。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第二部分 综述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一、项目背景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着信息爆炸式增长，金融创业者、投研分析师及品牌公关人员面临着巨大的信息筛选压力。传统的人工浏览新闻模式效率低下，且难以捕捉瞬息万变的市场情绪与潜在风险。同时，微信公众号、主流新闻客户端等信源分散，缺乏统一的聚合与分析工具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有的通用舆情工具往往价格昂贵，且缺乏对特定行业（如金融科技）的深度定制。基于此，本平台旨在通过自动化爬虫技术结合先进的NLP大模型，构建一个集“采集-清洗-分析-展示”于一体的智能情报系统，解决信息过载与洞察力不足的痛点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二、建设目标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全网信源汇聚</w:t>
            </w:r>
            <w:r>
              <w:rPr>
                <w:rFonts w:eastAsia="等线" w:ascii="Arial" w:cs="Arial" w:hAnsi="Arial"/>
                <w:sz w:val="22"/>
              </w:rPr>
              <w:t>：实现对主流新闻网站、RSS源及微信公众号的自动化定时采集，建立统一的数据仓库。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智能内容解构</w:t>
            </w:r>
            <w:r>
              <w:rPr>
                <w:rFonts w:eastAsia="等线" w:ascii="Arial" w:cs="Arial" w:hAnsi="Arial"/>
                <w:sz w:val="22"/>
              </w:rPr>
              <w:t>：利用BERT/BART等模型，自动生成新闻摘要、标题，并进行命名实体识别（NER），提取关键机构、人物与地点。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事件脉络还原</w:t>
            </w:r>
            <w:r>
              <w:rPr>
                <w:rFonts w:eastAsia="等线" w:ascii="Arial" w:cs="Arial" w:hAnsi="Arial"/>
                <w:sz w:val="22"/>
              </w:rPr>
              <w:t>：基于聚类算法，自动将碎片化新闻聚合为独立事件，生成可视化时间线，辅助用户理清事件来龙去脉。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商业情报输出</w:t>
            </w:r>
            <w:r>
              <w:rPr>
                <w:rFonts w:eastAsia="等线" w:ascii="Arial" w:cs="Arial" w:hAnsi="Arial"/>
                <w:sz w:val="22"/>
              </w:rPr>
              <w:t>：通过热度词云、情感分析等功能，为金融创业者提供市场热点洞察与风险预警，支持导出分析报告。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三、建设原则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（一）实用有用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从金融分析与舆情监控的实际场景出发，聚焦高价值功能（如事件追踪、情感分析），避免无效的数据堆砌，确保输出的情报可直接用于商业决策。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（二）灵活先进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系统架构需支持异构数据源的快速接入（如新增爬虫站点无需修改核心代码）；模型服务需支持热插拔，便于后续升级至更先进的算法。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（三）界面友好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sz w:val="22"/>
              </w:rPr>
              <w:t>用数据可视化大屏风格，利用ECharts等图表库展示词云、热度趋势图和时间线，降低用户的理解门槛，做到“一图胜千言”。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（四）兼容扩展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sz w:val="22"/>
              </w:rPr>
              <w:t>系统需提供标准的 RESTful API 接口，支持与第三方OA系统、金融终端或内部告警系统对接，实现情报数据的流转。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（五）安全可靠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严格遵守Robots协议及版权法规，仅对公开数据进行采集与摘要分析；确保服务器数据安全，防止敏感配置泄露；对用户操作进行日志记录，确保可追溯。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四、用户业务需求说明</w:t>
      </w:r>
      <w:bookmarkEnd w:id="1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1、整体业务需求示意图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5105400" cy="2762250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276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br/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2、需求详细说明</w:t>
      </w:r>
      <w:bookmarkEnd w:id="16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7" w:id="17"/>
      <w:r>
        <w:rPr>
          <w:rFonts w:eastAsia="等线" w:ascii="Arial" w:cs="Arial" w:hAnsi="Arial"/>
          <w:b w:val="true"/>
          <w:sz w:val="24"/>
        </w:rPr>
        <w:t xml:space="preserve">2.1.  </w:t>
      </w:r>
      <w:r>
        <w:rPr>
          <w:rFonts w:eastAsia="等线" w:ascii="Arial" w:cs="Arial" w:hAnsi="Arial"/>
          <w:b w:val="true"/>
          <w:sz w:val="24"/>
        </w:rPr>
        <w:t>数据采集</w:t>
      </w:r>
      <w:r>
        <w:rPr>
          <w:rFonts w:eastAsia="等线" w:ascii="Arial" w:cs="Arial" w:hAnsi="Arial"/>
          <w:b w:val="true"/>
          <w:sz w:val="24"/>
        </w:rPr>
        <w:t>业务流程描述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信源管理</w:t>
      </w:r>
      <w:r>
        <w:rPr>
          <w:rFonts w:eastAsia="等线" w:ascii="Arial" w:cs="Arial" w:hAnsi="Arial"/>
          <w:sz w:val="22"/>
        </w:rPr>
        <w:t>：管理员在后台配置需要抓取的网站域名、RSS地址及公众号列表。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定时调度</w:t>
      </w:r>
      <w:r>
        <w:rPr>
          <w:rFonts w:eastAsia="等线" w:ascii="Arial" w:cs="Arial" w:hAnsi="Arial"/>
          <w:sz w:val="22"/>
        </w:rPr>
        <w:t>：系统根据设定的频率（如每15分钟）自动启动爬虫任务。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增量抓取</w:t>
      </w:r>
      <w:r>
        <w:rPr>
          <w:rFonts w:eastAsia="等线" w:ascii="Arial" w:cs="Arial" w:hAnsi="Arial"/>
          <w:sz w:val="22"/>
        </w:rPr>
        <w:t>：系统通过URL哈希比对，只抓取新发布的内容，避免重复存储。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公众号处理</w:t>
      </w:r>
      <w:r>
        <w:rPr>
          <w:rFonts w:eastAsia="等线" w:ascii="Arial" w:cs="Arial" w:hAnsi="Arial"/>
          <w:sz w:val="22"/>
        </w:rPr>
        <w:t>：系统通过解析公开文章链接，提取正文，不使用非法的模拟登录手段。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8" w:id="18"/>
      <w:r>
        <w:rPr>
          <w:rFonts w:eastAsia="等线" w:ascii="Arial" w:cs="Arial" w:hAnsi="Arial"/>
          <w:b w:val="true"/>
          <w:sz w:val="24"/>
        </w:rPr>
        <w:t>2.2 智能处理业务流程</w:t>
      </w:r>
      <w:bookmarkEnd w:id="18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正文清洗</w:t>
      </w:r>
      <w:r>
        <w:rPr>
          <w:rFonts w:eastAsia="等线" w:ascii="Arial" w:cs="Arial" w:hAnsi="Arial"/>
          <w:sz w:val="22"/>
        </w:rPr>
        <w:t>：自动过滤网页中的广告、导航栏及无关代码，提取纯净文本。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AI解构</w:t>
      </w:r>
      <w:r>
        <w:rPr>
          <w:rFonts w:eastAsia="等线" w:ascii="Arial" w:cs="Arial" w:hAnsi="Arial"/>
          <w:sz w:val="22"/>
        </w:rPr>
        <w:t>：调用NLP模型服务，生成不超过200字的核心摘要，提取文章关键词及涉及的公司/人物实体。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一致性校验</w:t>
      </w:r>
      <w:r>
        <w:rPr>
          <w:rFonts w:eastAsia="等线" w:ascii="Arial" w:cs="Arial" w:hAnsi="Arial"/>
          <w:sz w:val="22"/>
        </w:rPr>
        <w:t>：检查生成的标题与正文是否存在事实性偏差（如数字错误、实体张冠李戴）。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9" w:id="19"/>
      <w:r>
        <w:rPr>
          <w:rFonts w:eastAsia="等线" w:ascii="Arial" w:cs="Arial" w:hAnsi="Arial"/>
          <w:b w:val="true"/>
          <w:sz w:val="24"/>
        </w:rPr>
        <w:t>2.3 舆情分析业务流程</w:t>
      </w:r>
      <w:bookmarkEnd w:id="19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事件聚类</w:t>
      </w:r>
      <w:r>
        <w:rPr>
          <w:rFonts w:eastAsia="等线" w:ascii="Arial" w:cs="Arial" w:hAnsi="Arial"/>
          <w:sz w:val="22"/>
        </w:rPr>
        <w:t>：系统自动将涉及同一事件（如“某公司财报发布”）的新闻聚合在一起。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热度分析</w:t>
      </w:r>
      <w:r>
        <w:rPr>
          <w:rFonts w:eastAsia="等线" w:ascii="Arial" w:cs="Arial" w:hAnsi="Arial"/>
          <w:sz w:val="22"/>
        </w:rPr>
        <w:t>：统计特定关键词在特定时间段内的出现频次，生成热度趋势图。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词云生成</w:t>
      </w:r>
      <w:r>
        <w:rPr>
          <w:rFonts w:eastAsia="等线" w:ascii="Arial" w:cs="Arial" w:hAnsi="Arial"/>
          <w:sz w:val="22"/>
        </w:rPr>
        <w:t>：根据用户选择的网站范围（如“只看财经网”）或全站，生成高频词汇的视觉化词云。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0" w:id="20"/>
      <w:r>
        <w:rPr>
          <w:rFonts w:eastAsia="等线" w:ascii="Arial" w:cs="Arial" w:hAnsi="Arial"/>
          <w:b w:val="true"/>
          <w:sz w:val="24"/>
        </w:rPr>
        <w:t>2.4 用户交互业务流程</w:t>
      </w:r>
      <w:bookmarkEnd w:id="20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登录认证</w:t>
      </w:r>
      <w:r>
        <w:rPr>
          <w:rFonts w:eastAsia="等线" w:ascii="Arial" w:cs="Arial" w:hAnsi="Arial"/>
          <w:sz w:val="22"/>
        </w:rPr>
        <w:t>：用户通过账号密码登录，系统根据角色（普通用户/管理员）展示不同权限的菜单。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情报检索</w:t>
      </w:r>
      <w:r>
        <w:rPr>
          <w:rFonts w:eastAsia="等线" w:ascii="Arial" w:cs="Arial" w:hAnsi="Arial"/>
          <w:sz w:val="22"/>
        </w:rPr>
        <w:t>：用户可通过关键词、时间范围、信源类型组合筛选新闻。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日报导出</w:t>
      </w:r>
      <w:r>
        <w:rPr>
          <w:rFonts w:eastAsia="等线" w:ascii="Arial" w:cs="Arial" w:hAnsi="Arial"/>
          <w:sz w:val="22"/>
        </w:rPr>
        <w:t>：用户可将当前筛选条件下的分析结果（含词云图片、事件列表）导出为PDF或Excel格式。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21" w:id="21"/>
      <w:r>
        <w:rPr>
          <w:rFonts w:eastAsia="等线" w:ascii="Arial" w:cs="Arial" w:hAnsi="Arial"/>
          <w:b w:val="true"/>
          <w:sz w:val="36"/>
        </w:rPr>
        <w:t>第三部分 需求分析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一、用例分析</w:t>
      </w:r>
      <w:bookmarkEnd w:id="2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1.系统管理员用例</w:t>
      </w:r>
      <w:bookmarkEnd w:id="23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4" w:id="24"/>
      <w:r>
        <w:rPr>
          <w:rFonts w:eastAsia="等线" w:ascii="Arial" w:cs="Arial" w:hAnsi="Arial"/>
          <w:b w:val="true"/>
          <w:sz w:val="24"/>
        </w:rPr>
        <w:t>1.1、</w:t>
      </w:r>
      <w:r>
        <w:rPr>
          <w:rFonts w:eastAsia="等线" w:ascii="Arial" w:cs="Arial" w:hAnsi="Arial"/>
          <w:b w:val="true"/>
          <w:sz w:val="24"/>
        </w:rPr>
        <w:t>系统管理员</w:t>
      </w:r>
      <w:r>
        <w:rPr>
          <w:rFonts w:eastAsia="等线" w:ascii="Arial" w:cs="Arial" w:hAnsi="Arial"/>
          <w:b w:val="true"/>
          <w:sz w:val="24"/>
        </w:rPr>
        <w:t>用例描述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95"/>
        <w:gridCol w:w="6885"/>
      </w:tblGrid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76964"/>
              </w:rPr>
              <w:t>ID</w:t>
            </w:r>
          </w:p>
        </w:tc>
        <w:tc>
          <w:tcPr>
            <w:tcW w:w="6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LMS0001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用例名称</w:t>
            </w:r>
          </w:p>
        </w:tc>
        <w:tc>
          <w:tcPr>
            <w:tcW w:w="6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sz w:val="22"/>
              </w:rPr>
              <w:t>信源配置管理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4e83fd"/>
              </w:rPr>
              <w:t>父用例ID</w:t>
            </w:r>
          </w:p>
        </w:tc>
        <w:tc>
          <w:tcPr>
            <w:tcW w:w="6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4e83fd"/>
              </w:rPr>
              <w:t xml:space="preserve"> 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主要执行者</w:t>
            </w:r>
          </w:p>
        </w:tc>
        <w:tc>
          <w:tcPr>
            <w:tcW w:w="6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sz w:val="22"/>
              </w:rPr>
              <w:t>系统管理员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前置条件</w:t>
            </w:r>
          </w:p>
        </w:tc>
        <w:tc>
          <w:tcPr>
            <w:tcW w:w="6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sz w:val="22"/>
              </w:rPr>
              <w:t>管理员已成功管理后台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事件流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进入“信源管理”页面。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点击“新增信源”，填写网站URL或RSS地址。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配置采集频率与启用状态。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点击“保存”，系统验证格式并更新数据库。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可选事件流</w:t>
            </w:r>
          </w:p>
        </w:tc>
        <w:tc>
          <w:tcPr>
            <w:tcW w:w="6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sz w:val="22"/>
              </w:rPr>
              <w:t>可对现有信源进行编辑、禁用或删除操作。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异常事件流</w:t>
            </w:r>
          </w:p>
        </w:tc>
        <w:tc>
          <w:tcPr>
            <w:tcW w:w="6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后置条件</w:t>
            </w:r>
          </w:p>
        </w:tc>
        <w:tc>
          <w:tcPr>
            <w:tcW w:w="6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sz w:val="22"/>
              </w:rPr>
              <w:t>新的采集任务被加入调度队列。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 xml:space="preserve"> </w:t>
      </w:r>
      <w:r>
        <w:rPr>
          <w:rFonts w:eastAsia="等线" w:ascii="Arial" w:cs="Arial" w:hAnsi="Arial"/>
          <w:b w:val="true"/>
          <w:sz w:val="28"/>
        </w:rPr>
        <w:t>1.2、系统管理员用例2描述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95"/>
        <w:gridCol w:w="6885"/>
      </w:tblGrid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76964"/>
              </w:rPr>
              <w:t>ID</w:t>
            </w:r>
          </w:p>
        </w:tc>
        <w:tc>
          <w:tcPr>
            <w:tcW w:w="6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LMS0002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用例名称</w:t>
            </w:r>
          </w:p>
        </w:tc>
        <w:tc>
          <w:tcPr>
            <w:tcW w:w="6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模型服务管理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4e83fd"/>
              </w:rPr>
              <w:t>父用例ID</w:t>
            </w:r>
          </w:p>
        </w:tc>
        <w:tc>
          <w:tcPr>
            <w:tcW w:w="6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4e83fd"/>
              </w:rPr>
              <w:t xml:space="preserve"> 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主要执行者</w:t>
            </w:r>
          </w:p>
        </w:tc>
        <w:tc>
          <w:tcPr>
            <w:tcW w:w="6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系统管理员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前置条件</w:t>
            </w:r>
          </w:p>
        </w:tc>
        <w:tc>
          <w:tcPr>
            <w:tcW w:w="6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管理员已成功管理后台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事件流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进入“模型管理”页面。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查看当前加载的摘要/标题生成模型版本。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上传新的模型权重文件（如需升级）。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切换线上使用的模型版本。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可选事件流</w:t>
            </w:r>
          </w:p>
        </w:tc>
        <w:tc>
          <w:tcPr>
            <w:tcW w:w="6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配置GPU/CPU推理参数。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异常事件流</w:t>
            </w:r>
          </w:p>
        </w:tc>
        <w:tc>
          <w:tcPr>
            <w:tcW w:w="6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后置条件</w:t>
            </w:r>
          </w:p>
        </w:tc>
        <w:tc>
          <w:tcPr>
            <w:tcW w:w="6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系统后续的分析任务将使用新配置的模型。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2.金融分析师用例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95"/>
        <w:gridCol w:w="6885"/>
      </w:tblGrid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76964"/>
              </w:rPr>
              <w:t>ID</w:t>
            </w:r>
          </w:p>
        </w:tc>
        <w:tc>
          <w:tcPr>
            <w:tcW w:w="6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LMS0003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用例名称</w:t>
            </w:r>
          </w:p>
        </w:tc>
        <w:tc>
          <w:tcPr>
            <w:tcW w:w="6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事件追踪分析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4e83fd"/>
              </w:rPr>
              <w:t>父用例ID</w:t>
            </w:r>
          </w:p>
        </w:tc>
        <w:tc>
          <w:tcPr>
            <w:tcW w:w="6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4e83fd"/>
              </w:rPr>
              <w:t xml:space="preserve"> 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主要执行者</w:t>
            </w:r>
          </w:p>
        </w:tc>
        <w:tc>
          <w:tcPr>
            <w:tcW w:w="6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分析师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前置条件</w:t>
            </w:r>
          </w:p>
        </w:tc>
        <w:tc>
          <w:tcPr>
            <w:tcW w:w="6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用户已登录系统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事件流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在首页点击“事件追踪”模块。</w:t>
              <w:br/>
              <w:t>2. 系统展示当前热点事件列表（按热度排序）。</w:t>
              <w:br/>
              <w:t>3. 用户点击某一事件（如“新能源汽车补贴退坡”）。</w:t>
              <w:br/>
            </w:r>
            <w:r>
              <w:rPr>
                <w:rFonts w:eastAsia="等线" w:ascii="Arial" w:cs="Arial" w:hAnsi="Arial"/>
                <w:sz w:val="22"/>
              </w:rPr>
              <w:t>4. 系统展示该事件的演进时间线、核心摘要及关联股票/公司列表。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可选事件流</w:t>
            </w:r>
          </w:p>
        </w:tc>
        <w:tc>
          <w:tcPr>
            <w:tcW w:w="6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用户可将事件时间线导出为报告素材。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异常事件流</w:t>
            </w:r>
          </w:p>
        </w:tc>
        <w:tc>
          <w:tcPr>
            <w:tcW w:w="6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无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后置条件</w:t>
            </w:r>
          </w:p>
        </w:tc>
        <w:tc>
          <w:tcPr>
            <w:tcW w:w="6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95"/>
        <w:gridCol w:w="6885"/>
      </w:tblGrid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76964"/>
              </w:rPr>
              <w:t>ID</w:t>
            </w:r>
          </w:p>
        </w:tc>
        <w:tc>
          <w:tcPr>
            <w:tcW w:w="6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LMS0004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用例名称</w:t>
            </w:r>
          </w:p>
        </w:tc>
        <w:tc>
          <w:tcPr>
            <w:tcW w:w="6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热度词云分析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4e83fd"/>
              </w:rPr>
              <w:t>父用例ID</w:t>
            </w:r>
          </w:p>
        </w:tc>
        <w:tc>
          <w:tcPr>
            <w:tcW w:w="6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4e83fd"/>
              </w:rPr>
              <w:t xml:space="preserve"> 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主要执行者</w:t>
            </w:r>
          </w:p>
        </w:tc>
        <w:tc>
          <w:tcPr>
            <w:tcW w:w="6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分析师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前置条件</w:t>
            </w:r>
          </w:p>
        </w:tc>
        <w:tc>
          <w:tcPr>
            <w:tcW w:w="6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用户已登录系统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事件流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进入“词云分析”页面。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选择时间范围（如近24小时）和数据来源（如“财经媒体”）。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点击“生成词云”。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系统展示可视化词云图，高频词字体更大。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点击词云中的关键词，可联动查看相关新闻列表。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可选事件流</w:t>
            </w:r>
          </w:p>
        </w:tc>
        <w:tc>
          <w:tcPr>
            <w:tcW w:w="6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切换不同形状的词云模板；下载高清词云图片。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异常事件流</w:t>
            </w:r>
          </w:p>
        </w:tc>
        <w:tc>
          <w:tcPr>
            <w:tcW w:w="6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无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后置条件</w:t>
            </w:r>
          </w:p>
        </w:tc>
        <w:tc>
          <w:tcPr>
            <w:tcW w:w="6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2.内容运营/编辑用例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95"/>
        <w:gridCol w:w="6885"/>
      </w:tblGrid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76964"/>
              </w:rPr>
              <w:t>ID</w:t>
            </w:r>
          </w:p>
        </w:tc>
        <w:tc>
          <w:tcPr>
            <w:tcW w:w="6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LMS0005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用例名称</w:t>
            </w:r>
          </w:p>
        </w:tc>
        <w:tc>
          <w:tcPr>
            <w:tcW w:w="6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智能摘要与标题生成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4e83fd"/>
              </w:rPr>
              <w:t>父用例ID</w:t>
            </w:r>
          </w:p>
        </w:tc>
        <w:tc>
          <w:tcPr>
            <w:tcW w:w="6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4e83fd"/>
              </w:rPr>
              <w:t xml:space="preserve"> 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主要执行者</w:t>
            </w:r>
          </w:p>
        </w:tc>
        <w:tc>
          <w:tcPr>
            <w:tcW w:w="6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编辑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前置条件</w:t>
            </w:r>
          </w:p>
        </w:tc>
        <w:tc>
          <w:tcPr>
            <w:tcW w:w="6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用户已登录系统，且系统内存在待处理的新闻文本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事件流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用户粘贴新闻正文或选择一篇已采集的文章。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点击“AI生成”按钮。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系统返回3个不同风格的标题（客观型、吸引型、精简型）及一段摘要。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用户对生成内容进行微调并采纳。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可选事件流</w:t>
            </w:r>
          </w:p>
        </w:tc>
        <w:tc>
          <w:tcPr>
            <w:tcW w:w="6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查看一致性校验提示（如标题与正文不符的警告）。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异常事件流</w:t>
            </w:r>
          </w:p>
        </w:tc>
        <w:tc>
          <w:tcPr>
            <w:tcW w:w="6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无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后置条件</w:t>
            </w:r>
          </w:p>
        </w:tc>
        <w:tc>
          <w:tcPr>
            <w:tcW w:w="6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生成的内容被保存到草稿箱。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二、界面风格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WEB登录界面：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整体采用简约政企资讯系统 UI，主色调深蓝色，文字清晰，功能分区明确，无多余动画。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账号密码登录 + 验证码验证，支持记住账号；右下角显示系统版本、客服联系方式；登录校验账号状态，禁用账号无法登录。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主页面：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顶部</w:t>
            </w:r>
            <w:r>
              <w:rPr>
                <w:rFonts w:eastAsia="等线" w:ascii="Arial" w:cs="Arial" w:hAnsi="Arial"/>
                <w:sz w:val="22"/>
              </w:rPr>
              <w:t>：关键指标卡片（今日采集量、活跃事件数、负面情感占比）。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左侧</w:t>
            </w:r>
            <w:r>
              <w:rPr>
                <w:rFonts w:eastAsia="等线" w:ascii="Arial" w:cs="Arial" w:hAnsi="Arial"/>
                <w:sz w:val="22"/>
              </w:rPr>
              <w:t>：事件时间线列表，支持点击展开。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中部</w:t>
            </w:r>
            <w:r>
              <w:rPr>
                <w:rFonts w:eastAsia="等线" w:ascii="Arial" w:cs="Arial" w:hAnsi="Arial"/>
                <w:sz w:val="22"/>
              </w:rPr>
              <w:t>：核心区域，展示选中事件的详情及热度趋势图。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右侧</w:t>
            </w:r>
            <w:r>
              <w:rPr>
                <w:rFonts w:eastAsia="等线" w:ascii="Arial" w:cs="Arial" w:hAnsi="Arial"/>
                <w:sz w:val="22"/>
              </w:rPr>
              <w:t>：热度词云图及实时新闻流。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交互细节：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鼠标悬停词云词汇时，显示该词的出现频次。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时间线节点支持拖拽缩放。</w:t>
            </w:r>
          </w:p>
          <w:p>
            <w:pPr>
              <w:numPr>
                <w:numId w:val="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表格数据支持按列排序和自定义筛选。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功能页面：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pStyle w:val="6"/>
              <w:spacing w:before="240" w:after="120" w:line="288" w:lineRule="auto"/>
              <w:ind w:left="0"/>
              <w:jc w:val="left"/>
              <w:outlineLvl w:val="5"/>
            </w:pPr>
            <w:bookmarkStart w:name="heading_29" w:id="29"/>
            <w:r>
              <w:rPr>
                <w:rFonts w:eastAsia="等线" w:ascii="Arial" w:cs="Arial" w:hAnsi="Arial"/>
                <w:b w:val="true"/>
                <w:sz w:val="24"/>
              </w:rPr>
              <w:t>新闻处理编辑页面</w:t>
            </w:r>
            <w:bookmarkEnd w:id="29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左侧：原始新闻素材展示区； 中间：AI 生成摘要编辑区（短 / 标准 / 深度摘要分栏）； 右侧：多风格标题列表，每条标题附带复制、重新生成按钮； 底部：稿件标签、状态选择、保存、批量导出按钮。</w:t>
            </w:r>
          </w:p>
          <w:p>
            <w:pPr>
              <w:pStyle w:val="6"/>
              <w:spacing w:before="240" w:after="120" w:line="288" w:lineRule="auto"/>
              <w:ind w:left="0"/>
              <w:jc w:val="left"/>
              <w:outlineLvl w:val="5"/>
            </w:pPr>
            <w:bookmarkStart w:name="heading_30" w:id="30"/>
            <w:r>
              <w:rPr>
                <w:rFonts w:eastAsia="等线" w:ascii="Arial" w:cs="Arial" w:hAnsi="Arial"/>
                <w:b w:val="true"/>
                <w:sz w:val="24"/>
              </w:rPr>
              <w:t>数据统计看板页面</w:t>
            </w:r>
            <w:bookmarkEnd w:id="30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折线图：每日稿件处理量趋势； 饼图：各类新闻标签占比、各风格标题选用比例； 表格：月度稿件总量、人工修改率、AI 自动定稿率；支持数据导出 Excel。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31" w:id="31"/>
      <w:r>
        <w:rPr>
          <w:rFonts w:eastAsia="等线" w:ascii="Arial" w:cs="Arial" w:hAnsi="Arial"/>
          <w:b w:val="true"/>
          <w:sz w:val="36"/>
        </w:rPr>
        <w:t>第四部分 验收标准</w:t>
      </w:r>
      <w:bookmarkEnd w:id="3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一、功能范围定义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60"/>
        <w:gridCol w:w="885"/>
        <w:gridCol w:w="1290"/>
        <w:gridCol w:w="1230"/>
        <w:gridCol w:w="2940"/>
        <w:gridCol w:w="735"/>
        <w:gridCol w:w="840"/>
      </w:tblGrid>
      <w:tr>
        <w:tc>
          <w:tcPr>
            <w:tcW w:w="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  <w:shd w:fill="f76964"/>
              </w:rPr>
              <w:t>#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  <w:shd w:fill="f76964"/>
              </w:rPr>
              <w:t>产品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  <w:shd w:fill="f76964"/>
              </w:rPr>
              <w:t>模块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  <w:shd w:fill="f76964"/>
              </w:rPr>
              <w:t>组件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  <w:shd w:fill="f76964"/>
              </w:rPr>
              <w:t>规格/型号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  <w:shd w:fill="f76964"/>
              </w:rPr>
              <w:t>角色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  <w:shd w:fill="f76964"/>
              </w:rPr>
              <w:t>接入</w:t>
            </w:r>
          </w:p>
        </w:tc>
      </w:tr>
      <w:tr>
        <w:tc>
          <w:tcPr>
            <w:tcW w:w="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88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新闻智能摘要与标题生成系统</w:t>
            </w:r>
          </w:p>
        </w:tc>
        <w:tc>
          <w:tcPr>
            <w:tcW w:w="129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素材导入模块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单文本录入、文档批量上传组件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支持 10 万字内文本，支持 TXT/Word，单次最多 200 篇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编辑、审核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本地</w:t>
            </w:r>
          </w:p>
        </w:tc>
      </w:tr>
      <w:tr>
        <w:tc>
          <w:tcPr>
            <w:tcW w:w="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8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网页抓取组件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自动清洗网页冗余内容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编辑、审核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URL 网络抓取</w:t>
            </w:r>
          </w:p>
        </w:tc>
      </w:tr>
      <w:tr>
        <w:tc>
          <w:tcPr>
            <w:tcW w:w="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8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生成核心模块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摘要生成引擎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短 / 标准 / 深度三类摘要，字数可配置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编辑、审核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内部模型调用 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8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多风格标题引擎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4 大类共 8 条标题单次输出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编辑、审核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内部模型调用</w:t>
            </w:r>
          </w:p>
        </w:tc>
      </w:tr>
      <w:tr>
        <w:tc>
          <w:tcPr>
            <w:tcW w:w="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8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统计看板组件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日 / 月处理数据可视化图表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审核、管理员 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8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内容过滤组件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违规新闻拦截、内容脱敏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全部角色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8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稿件编辑、导出模块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在线文本编辑组件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支持修改、版本回滚、标签管理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编辑、审核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8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稿件检索存储组件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按时间、标签、标题关键词检索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全部登录用户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8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批量导出 Excel 组件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导出原文、摘要、全部标题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编辑、审核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8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API 推送组件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定稿稿件主动推送第三方 CMS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管理员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8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日志、系统配置模块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操作日志组件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记录所有稿件修改、导出、删除操作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管理员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8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模型参数配置组件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调整摘要长度、标题生成数量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管理员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后台配置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13</w:t>
            </w:r>
          </w:p>
        </w:tc>
        <w:tc>
          <w:tcPr>
            <w:tcW w:w="8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14</w:t>
            </w:r>
          </w:p>
        </w:tc>
        <w:tc>
          <w:tcPr>
            <w:tcW w:w="8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登录、权限管理模块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账号验证组件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验证码登录、会话超时控制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全部角色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登录入口</w:t>
            </w:r>
          </w:p>
        </w:tc>
      </w:tr>
      <w:tr>
        <w:tc>
          <w:tcPr>
            <w:tcW w:w="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8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账号管理组件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新增 / 停用账号、角色分配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管理员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后台配置</w:t>
            </w:r>
          </w:p>
        </w:tc>
      </w:tr>
      <w:tr>
        <w:tc>
          <w:tcPr>
            <w:tcW w:w="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8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二、性能指标定义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60"/>
        <w:gridCol w:w="870"/>
        <w:gridCol w:w="1485"/>
        <w:gridCol w:w="1425"/>
        <w:gridCol w:w="2970"/>
        <w:gridCol w:w="1170"/>
      </w:tblGrid>
      <w:tr>
        <w:tc>
          <w:tcPr>
            <w:tcW w:w="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  <w:shd w:fill="f76964"/>
              </w:rPr>
              <w:t>#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  <w:shd w:fill="f76964"/>
              </w:rPr>
              <w:t>产品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  <w:shd w:fill="f76964"/>
              </w:rPr>
              <w:t>模块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  <w:shd w:fill="f76964"/>
              </w:rPr>
              <w:t>组件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  <w:shd w:fill="f76964"/>
              </w:rPr>
              <w:t>规格/型号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  <w:shd w:fill="f76964"/>
              </w:rPr>
              <w:t>性能级别</w:t>
            </w:r>
          </w:p>
        </w:tc>
      </w:tr>
      <w:tr>
        <w:tc>
          <w:tcPr>
            <w:tcW w:w="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8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148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8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8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8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8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8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8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8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8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8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8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8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8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8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8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13</w:t>
            </w:r>
          </w:p>
        </w:tc>
        <w:tc>
          <w:tcPr>
            <w:tcW w:w="8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14</w:t>
            </w:r>
          </w:p>
        </w:tc>
        <w:tc>
          <w:tcPr>
            <w:tcW w:w="8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8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8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8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说明：</w:t>
      </w:r>
      <w:r>
        <w:rPr>
          <w:rFonts w:eastAsia="等线" w:ascii="Arial" w:cs="Arial" w:hAnsi="Arial"/>
          <w:sz w:val="22"/>
        </w:rPr>
        <w:t>级别（A:表示非常重要必须达到的技术性能要求,B:表示重要推荐达到的技术性能要求,C：表示非重要可以弱化的技术性能要求.）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34" w:id="34"/>
      <w:r>
        <w:rPr>
          <w:rFonts w:eastAsia="等线" w:ascii="Arial" w:cs="Arial" w:hAnsi="Arial"/>
          <w:b w:val="true"/>
          <w:color w:val="8f959e"/>
          <w:sz w:val="36"/>
        </w:rPr>
        <w:t>第五部分 环境和部署要求</w:t>
      </w:r>
      <w:bookmarkEnd w:id="3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一、网络部署图</w:t>
      </w:r>
      <w:bookmarkEnd w:id="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部署架构：办公内网客户端 → 应用服务器 → AI 模型服务器 → 数据库服务器；AI 模型服务器隔离部署，稿件数据仅内网流转，禁止公网直接访问；外网仅开放 API 接口并配置鉴权密钥。 （示意图位置预留：此处插入网络拓扑部署图）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二、应用部署图</w:t>
      </w:r>
      <w:bookmarkEnd w:id="3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分层部署：前端 Web 服务层、业务逻辑服务层、AI 调度服务层、数据持久层；各服务独立容器化部署，可单独扩容。 （示意图位置预留：此处插入应用分层部署图）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三、其他部署</w:t>
      </w:r>
      <w:bookmarkEnd w:id="3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320" w:after="120" w:line="288" w:lineRule="auto"/>
              <w:ind w:left="0"/>
              <w:jc w:val="left"/>
              <w:outlineLvl w:val="1"/>
            </w:pPr>
            <w:bookmarkStart w:name="heading_38" w:id="38"/>
            <w:r>
              <w:rPr>
                <w:rFonts w:eastAsia="等线" w:ascii="Arial" w:cs="Arial" w:hAnsi="Arial"/>
                <w:b w:val="true"/>
                <w:sz w:val="32"/>
              </w:rPr>
              <w:t>AI 模型部署说明</w:t>
            </w:r>
            <w:bookmarkEnd w:id="38"/>
          </w:p>
          <w:p>
            <w:pPr>
              <w:numPr>
                <w:numId w:val="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NLP 大模型私有化本地部署，不调用第三方公有 AI 接口，保障新闻素材数据安全；</w:t>
            </w:r>
          </w:p>
          <w:p>
            <w:pPr>
              <w:numPr>
                <w:numId w:val="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模型支持 GPU 加速，无 GPU 环境可使用 CPU 兼容模式运行（批量处理速度降低）；</w:t>
            </w:r>
          </w:p>
          <w:p>
            <w:pPr>
              <w:numPr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模型支持定期更新词库、新闻语料，管理员后台一键重载模型参数。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四、运行环境说明</w:t>
      </w:r>
      <w:bookmarkEnd w:id="3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1、服务器</w:t>
      </w:r>
      <w:bookmarkEnd w:id="4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pStyle w:val="4"/>
              <w:spacing w:before="260" w:after="120" w:line="288" w:lineRule="auto"/>
              <w:ind w:left="0"/>
              <w:jc w:val="left"/>
              <w:outlineLvl w:val="3"/>
            </w:pPr>
            <w:bookmarkStart w:name="heading_41" w:id="41"/>
            <w:r>
              <w:rPr>
                <w:rFonts w:eastAsia="等线" w:ascii="Arial" w:cs="Arial" w:hAnsi="Arial"/>
                <w:b w:val="true"/>
                <w:sz w:val="28"/>
              </w:rPr>
              <w:t>硬件最低配置</w:t>
            </w:r>
            <w:bookmarkEnd w:id="41"/>
          </w:p>
          <w:p>
            <w:pPr>
              <w:numPr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应用服务器：CPU 8 核、内存 16G、硬盘 500G SSD；</w:t>
            </w:r>
          </w:p>
          <w:p>
            <w:pPr>
              <w:numPr>
                <w:numId w:val="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模型服务器：CPU 16 核 / 单块 16G 显存 GPU、内存 32G、硬盘 1T SSD；</w:t>
            </w:r>
          </w:p>
          <w:p>
            <w:pPr>
              <w:numPr>
                <w:numId w:val="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数据库服务器：CPU 8 核、内存 16G、硬盘 1T SSD。</w:t>
            </w:r>
          </w:p>
          <w:p>
            <w:pPr>
              <w:pStyle w:val="4"/>
              <w:spacing w:before="260" w:after="120" w:line="288" w:lineRule="auto"/>
              <w:ind w:left="0"/>
              <w:jc w:val="left"/>
              <w:outlineLvl w:val="3"/>
            </w:pPr>
            <w:bookmarkStart w:name="heading_42" w:id="42"/>
            <w:r>
              <w:rPr>
                <w:rFonts w:eastAsia="等线" w:ascii="Arial" w:cs="Arial" w:hAnsi="Arial"/>
                <w:b w:val="true"/>
                <w:sz w:val="28"/>
              </w:rPr>
              <w:t>软件环境</w:t>
            </w:r>
            <w:bookmarkEnd w:id="42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操作系统：CentOS7.9 / Ubuntu20.04； 中间件：Nginx、Docker、Redis； 数据库：MySQL8.0； 运行环境：Java17、Python3.9。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sz w:val="28"/>
        </w:rPr>
        <w:t>2、客户机器环境</w:t>
      </w:r>
      <w:bookmarkEnd w:id="4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客户端仅需浏览器，无客户端软件安装要求：</w:t>
            </w:r>
          </w:p>
          <w:p>
            <w:pPr>
              <w:numPr>
                <w:numId w:val="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 Chrome、Edge、Firefox 主流浏览器；</w:t>
            </w:r>
          </w:p>
          <w:p>
            <w:pPr>
              <w:numPr>
                <w:numId w:val="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浏览器版本不低于 Chrome90；</w:t>
            </w:r>
          </w:p>
          <w:p>
            <w:pPr>
              <w:numPr>
                <w:numId w:val="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电脑内存≥4G，网络带宽≥10Mbps；</w:t>
            </w:r>
          </w:p>
          <w:p>
            <w:pPr>
              <w:numPr>
                <w:numId w:val="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屏幕分辨率最低 1366*768。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b w:val="true"/>
          <w:sz w:val="28"/>
        </w:rPr>
        <w:t>3、第三方依赖环境</w:t>
      </w:r>
      <w:bookmarkEnd w:id="4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文件处理依赖：Word/TXT 解析工具包；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网页抓取依赖：网页清洗爬虫组件；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依赖：开源 NLP 大模型推理框架；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接口依赖：标准 HTTP/HTTPS 接口协议，支持 JSON 数据交互；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图表依赖：前端可视化 ECharts 组件，无需额外服务部署。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98282">
    <w:lvl>
      <w:start w:val="1"/>
      <w:numFmt w:val="decimal"/>
      <w:suff w:val="tab"/>
      <w:lvlText w:val="%1."/>
      <w:rPr>
        <w:color w:val="3370ff"/>
      </w:rPr>
    </w:lvl>
  </w:abstractNum>
  <w:abstractNum w:abstractNumId="1198283">
    <w:lvl>
      <w:start w:val="2"/>
      <w:numFmt w:val="decimal"/>
      <w:suff w:val="tab"/>
      <w:lvlText w:val="%1."/>
      <w:rPr>
        <w:color w:val="3370ff"/>
      </w:rPr>
    </w:lvl>
  </w:abstractNum>
  <w:abstractNum w:abstractNumId="1198284">
    <w:lvl>
      <w:start w:val="3"/>
      <w:numFmt w:val="decimal"/>
      <w:suff w:val="tab"/>
      <w:lvlText w:val="%1."/>
      <w:rPr>
        <w:color w:val="3370ff"/>
      </w:rPr>
    </w:lvl>
  </w:abstractNum>
  <w:abstractNum w:abstractNumId="1198285">
    <w:lvl>
      <w:start w:val="4"/>
      <w:numFmt w:val="decimal"/>
      <w:suff w:val="tab"/>
      <w:lvlText w:val="%1."/>
      <w:rPr>
        <w:color w:val="3370ff"/>
      </w:rPr>
    </w:lvl>
  </w:abstractNum>
  <w:abstractNum w:abstractNumId="1198286">
    <w:lvl>
      <w:start w:val="1"/>
      <w:numFmt w:val="decimal"/>
      <w:suff w:val="tab"/>
      <w:lvlText w:val="%1."/>
      <w:rPr>
        <w:color w:val="3370ff"/>
      </w:rPr>
    </w:lvl>
  </w:abstractNum>
  <w:abstractNum w:abstractNumId="1198287">
    <w:lvl>
      <w:start w:val="2"/>
      <w:numFmt w:val="decimal"/>
      <w:suff w:val="tab"/>
      <w:lvlText w:val="%1."/>
      <w:rPr>
        <w:color w:val="3370ff"/>
      </w:rPr>
    </w:lvl>
  </w:abstractNum>
  <w:abstractNum w:abstractNumId="1198288">
    <w:lvl>
      <w:start w:val="3"/>
      <w:numFmt w:val="decimal"/>
      <w:suff w:val="tab"/>
      <w:lvlText w:val="%1."/>
      <w:rPr>
        <w:color w:val="3370ff"/>
      </w:rPr>
    </w:lvl>
  </w:abstractNum>
  <w:abstractNum w:abstractNumId="1198289">
    <w:lvl>
      <w:start w:val="1"/>
      <w:numFmt w:val="decimal"/>
      <w:suff w:val="tab"/>
      <w:lvlText w:val="%1."/>
      <w:rPr>
        <w:color w:val="3370ff"/>
      </w:rPr>
    </w:lvl>
  </w:abstractNum>
  <w:abstractNum w:abstractNumId="1198290">
    <w:lvl>
      <w:start w:val="2"/>
      <w:numFmt w:val="decimal"/>
      <w:suff w:val="tab"/>
      <w:lvlText w:val="%1."/>
      <w:rPr>
        <w:color w:val="3370ff"/>
      </w:rPr>
    </w:lvl>
  </w:abstractNum>
  <w:abstractNum w:abstractNumId="1198291">
    <w:lvl>
      <w:start w:val="3"/>
      <w:numFmt w:val="decimal"/>
      <w:suff w:val="tab"/>
      <w:lvlText w:val="%1."/>
      <w:rPr>
        <w:color w:val="3370ff"/>
      </w:rPr>
    </w:lvl>
  </w:abstractNum>
  <w:abstractNum w:abstractNumId="1198292">
    <w:lvl>
      <w:start w:val="1"/>
      <w:numFmt w:val="decimal"/>
      <w:suff w:val="tab"/>
      <w:lvlText w:val="%1."/>
      <w:rPr>
        <w:color w:val="3370ff"/>
      </w:rPr>
    </w:lvl>
  </w:abstractNum>
  <w:abstractNum w:abstractNumId="1198293">
    <w:lvl>
      <w:start w:val="2"/>
      <w:numFmt w:val="decimal"/>
      <w:suff w:val="tab"/>
      <w:lvlText w:val="%1."/>
      <w:rPr>
        <w:color w:val="3370ff"/>
      </w:rPr>
    </w:lvl>
  </w:abstractNum>
  <w:abstractNum w:abstractNumId="1198294">
    <w:lvl>
      <w:start w:val="3"/>
      <w:numFmt w:val="decimal"/>
      <w:suff w:val="tab"/>
      <w:lvlText w:val="%1."/>
      <w:rPr>
        <w:color w:val="3370ff"/>
      </w:rPr>
    </w:lvl>
  </w:abstractNum>
  <w:abstractNum w:abstractNumId="1198295">
    <w:lvl>
      <w:start w:val="1"/>
      <w:numFmt w:val="decimal"/>
      <w:suff w:val="tab"/>
      <w:lvlText w:val="%1."/>
      <w:rPr>
        <w:color w:val="3370ff"/>
      </w:rPr>
    </w:lvl>
  </w:abstractNum>
  <w:abstractNum w:abstractNumId="1198296">
    <w:lvl>
      <w:start w:val="2"/>
      <w:numFmt w:val="decimal"/>
      <w:suff w:val="tab"/>
      <w:lvlText w:val="%1."/>
      <w:rPr>
        <w:color w:val="3370ff"/>
      </w:rPr>
    </w:lvl>
  </w:abstractNum>
  <w:abstractNum w:abstractNumId="1198297">
    <w:lvl>
      <w:start w:val="3"/>
      <w:numFmt w:val="decimal"/>
      <w:suff w:val="tab"/>
      <w:lvlText w:val="%1."/>
      <w:rPr>
        <w:color w:val="3370ff"/>
      </w:rPr>
    </w:lvl>
  </w:abstractNum>
  <w:abstractNum w:abstractNumId="1198298">
    <w:lvl>
      <w:start w:val="4"/>
      <w:numFmt w:val="decimal"/>
      <w:suff w:val="tab"/>
      <w:lvlText w:val="%1."/>
      <w:rPr>
        <w:color w:val="3370ff"/>
      </w:rPr>
    </w:lvl>
  </w:abstractNum>
  <w:abstractNum w:abstractNumId="1198299">
    <w:lvl>
      <w:start w:val="1"/>
      <w:numFmt w:val="decimal"/>
      <w:suff w:val="tab"/>
      <w:lvlText w:val="%1."/>
      <w:rPr>
        <w:color w:val="3370ff"/>
      </w:rPr>
    </w:lvl>
  </w:abstractNum>
  <w:abstractNum w:abstractNumId="1198300">
    <w:lvl>
      <w:start w:val="2"/>
      <w:numFmt w:val="decimal"/>
      <w:suff w:val="tab"/>
      <w:lvlText w:val="%1."/>
      <w:rPr>
        <w:color w:val="3370ff"/>
      </w:rPr>
    </w:lvl>
  </w:abstractNum>
  <w:abstractNum w:abstractNumId="1198301">
    <w:lvl>
      <w:start w:val="3"/>
      <w:numFmt w:val="decimal"/>
      <w:suff w:val="tab"/>
      <w:lvlText w:val="%1."/>
      <w:rPr>
        <w:color w:val="3370ff"/>
      </w:rPr>
    </w:lvl>
  </w:abstractNum>
  <w:abstractNum w:abstractNumId="1198302">
    <w:lvl>
      <w:start w:val="4"/>
      <w:numFmt w:val="decimal"/>
      <w:suff w:val="tab"/>
      <w:lvlText w:val="%1."/>
      <w:rPr>
        <w:color w:val="3370ff"/>
      </w:rPr>
    </w:lvl>
  </w:abstractNum>
  <w:abstractNum w:abstractNumId="1198303">
    <w:lvl>
      <w:start w:val="1"/>
      <w:numFmt w:val="decimal"/>
      <w:suff w:val="tab"/>
      <w:lvlText w:val="%1."/>
      <w:rPr>
        <w:color w:val="3370ff"/>
      </w:rPr>
    </w:lvl>
  </w:abstractNum>
  <w:abstractNum w:abstractNumId="1198304">
    <w:lvl>
      <w:start w:val="2"/>
      <w:numFmt w:val="decimal"/>
      <w:suff w:val="tab"/>
      <w:lvlText w:val="%1."/>
      <w:rPr>
        <w:color w:val="3370ff"/>
      </w:rPr>
    </w:lvl>
  </w:abstractNum>
  <w:abstractNum w:abstractNumId="1198305">
    <w:lvl>
      <w:start w:val="3"/>
      <w:numFmt w:val="decimal"/>
      <w:suff w:val="tab"/>
      <w:lvlText w:val="%1."/>
      <w:rPr>
        <w:color w:val="3370ff"/>
      </w:rPr>
    </w:lvl>
  </w:abstractNum>
  <w:abstractNum w:abstractNumId="1198306">
    <w:lvl>
      <w:start w:val="4"/>
      <w:numFmt w:val="decimal"/>
      <w:suff w:val="tab"/>
      <w:lvlText w:val="%1."/>
      <w:rPr>
        <w:color w:val="3370ff"/>
      </w:rPr>
    </w:lvl>
  </w:abstractNum>
  <w:abstractNum w:abstractNumId="1198307">
    <w:lvl>
      <w:start w:val="5"/>
      <w:numFmt w:val="decimal"/>
      <w:suff w:val="tab"/>
      <w:lvlText w:val="%1."/>
      <w:rPr>
        <w:color w:val="3370ff"/>
      </w:rPr>
    </w:lvl>
  </w:abstractNum>
  <w:abstractNum w:abstractNumId="1198308">
    <w:lvl>
      <w:start w:val="1"/>
      <w:numFmt w:val="decimal"/>
      <w:suff w:val="tab"/>
      <w:lvlText w:val="%1."/>
      <w:rPr>
        <w:color w:val="3370ff"/>
      </w:rPr>
    </w:lvl>
  </w:abstractNum>
  <w:abstractNum w:abstractNumId="1198309">
    <w:lvl>
      <w:start w:val="2"/>
      <w:numFmt w:val="decimal"/>
      <w:suff w:val="tab"/>
      <w:lvlText w:val="%1."/>
      <w:rPr>
        <w:color w:val="3370ff"/>
      </w:rPr>
    </w:lvl>
  </w:abstractNum>
  <w:abstractNum w:abstractNumId="1198310">
    <w:lvl>
      <w:start w:val="3"/>
      <w:numFmt w:val="decimal"/>
      <w:suff w:val="tab"/>
      <w:lvlText w:val="%1."/>
      <w:rPr>
        <w:color w:val="3370ff"/>
      </w:rPr>
    </w:lvl>
  </w:abstractNum>
  <w:abstractNum w:abstractNumId="1198311">
    <w:lvl>
      <w:start w:val="4"/>
      <w:numFmt w:val="decimal"/>
      <w:suff w:val="tab"/>
      <w:lvlText w:val="%1."/>
      <w:rPr>
        <w:color w:val="3370ff"/>
      </w:rPr>
    </w:lvl>
  </w:abstractNum>
  <w:abstractNum w:abstractNumId="1198312">
    <w:lvl>
      <w:start w:val="1"/>
      <w:numFmt w:val="decimal"/>
      <w:suff w:val="tab"/>
      <w:lvlText w:val="%1."/>
      <w:rPr>
        <w:color w:val="3370ff"/>
      </w:rPr>
    </w:lvl>
  </w:abstractNum>
  <w:abstractNum w:abstractNumId="1198313">
    <w:lvl>
      <w:start w:val="2"/>
      <w:numFmt w:val="decimal"/>
      <w:suff w:val="tab"/>
      <w:lvlText w:val="%1."/>
      <w:rPr>
        <w:color w:val="3370ff"/>
      </w:rPr>
    </w:lvl>
  </w:abstractNum>
  <w:abstractNum w:abstractNumId="1198314">
    <w:lvl>
      <w:start w:val="3"/>
      <w:numFmt w:val="decimal"/>
      <w:suff w:val="tab"/>
      <w:lvlText w:val="%1."/>
      <w:rPr>
        <w:color w:val="3370ff"/>
      </w:rPr>
    </w:lvl>
  </w:abstractNum>
  <w:abstractNum w:abstractNumId="1198315">
    <w:lvl>
      <w:start w:val="1"/>
      <w:numFmt w:val="decimal"/>
      <w:suff w:val="tab"/>
      <w:lvlText w:val="%1."/>
      <w:rPr>
        <w:color w:val="3370ff"/>
      </w:rPr>
    </w:lvl>
  </w:abstractNum>
  <w:abstractNum w:abstractNumId="1198316">
    <w:lvl>
      <w:start w:val="2"/>
      <w:numFmt w:val="decimal"/>
      <w:suff w:val="tab"/>
      <w:lvlText w:val="%1."/>
      <w:rPr>
        <w:color w:val="3370ff"/>
      </w:rPr>
    </w:lvl>
  </w:abstractNum>
  <w:abstractNum w:abstractNumId="1198317">
    <w:lvl>
      <w:start w:val="3"/>
      <w:numFmt w:val="decimal"/>
      <w:suff w:val="tab"/>
      <w:lvlText w:val="%1."/>
      <w:rPr>
        <w:color w:val="3370ff"/>
      </w:rPr>
    </w:lvl>
  </w:abstractNum>
  <w:abstractNum w:abstractNumId="1198318">
    <w:lvl>
      <w:numFmt w:val="bullet"/>
      <w:suff w:val="tab"/>
      <w:lvlText w:val="•"/>
      <w:rPr>
        <w:color w:val="3370ff"/>
      </w:rPr>
    </w:lvl>
  </w:abstractNum>
  <w:abstractNum w:abstractNumId="1198319">
    <w:lvl>
      <w:numFmt w:val="bullet"/>
      <w:suff w:val="tab"/>
      <w:lvlText w:val="•"/>
      <w:rPr>
        <w:color w:val="3370ff"/>
      </w:rPr>
    </w:lvl>
  </w:abstractNum>
  <w:abstractNum w:abstractNumId="1198320">
    <w:lvl>
      <w:numFmt w:val="bullet"/>
      <w:suff w:val="tab"/>
      <w:lvlText w:val="•"/>
      <w:rPr>
        <w:color w:val="3370ff"/>
      </w:rPr>
    </w:lvl>
  </w:abstractNum>
  <w:abstractNum w:abstractNumId="1198321">
    <w:lvl>
      <w:numFmt w:val="bullet"/>
      <w:suff w:val="tab"/>
      <w:lvlText w:val="•"/>
      <w:rPr>
        <w:color w:val="3370ff"/>
      </w:rPr>
    </w:lvl>
  </w:abstractNum>
  <w:abstractNum w:abstractNumId="1198322">
    <w:lvl>
      <w:numFmt w:val="bullet"/>
      <w:suff w:val="tab"/>
      <w:lvlText w:val="•"/>
      <w:rPr>
        <w:color w:val="3370ff"/>
      </w:rPr>
    </w:lvl>
  </w:abstractNum>
  <w:abstractNum w:abstractNumId="1198323">
    <w:lvl>
      <w:numFmt w:val="bullet"/>
      <w:suff w:val="tab"/>
      <w:lvlText w:val="•"/>
      <w:rPr>
        <w:color w:val="3370ff"/>
      </w:rPr>
    </w:lvl>
  </w:abstractNum>
  <w:abstractNum w:abstractNumId="1198324">
    <w:lvl>
      <w:numFmt w:val="bullet"/>
      <w:suff w:val="tab"/>
      <w:lvlText w:val="•"/>
      <w:rPr>
        <w:color w:val="3370ff"/>
      </w:rPr>
    </w:lvl>
  </w:abstractNum>
  <w:num w:numId="1">
    <w:abstractNumId w:val="1198282"/>
  </w:num>
  <w:num w:numId="2">
    <w:abstractNumId w:val="1198283"/>
  </w:num>
  <w:num w:numId="3">
    <w:abstractNumId w:val="1198284"/>
  </w:num>
  <w:num w:numId="4">
    <w:abstractNumId w:val="1198285"/>
  </w:num>
  <w:num w:numId="5">
    <w:abstractNumId w:val="1198286"/>
  </w:num>
  <w:num w:numId="6">
    <w:abstractNumId w:val="1198287"/>
  </w:num>
  <w:num w:numId="7">
    <w:abstractNumId w:val="1198288"/>
  </w:num>
  <w:num w:numId="8">
    <w:abstractNumId w:val="1198289"/>
  </w:num>
  <w:num w:numId="9">
    <w:abstractNumId w:val="1198290"/>
  </w:num>
  <w:num w:numId="10">
    <w:abstractNumId w:val="1198291"/>
  </w:num>
  <w:num w:numId="11">
    <w:abstractNumId w:val="1198292"/>
  </w:num>
  <w:num w:numId="12">
    <w:abstractNumId w:val="1198293"/>
  </w:num>
  <w:num w:numId="13">
    <w:abstractNumId w:val="1198294"/>
  </w:num>
  <w:num w:numId="14">
    <w:abstractNumId w:val="1198295"/>
  </w:num>
  <w:num w:numId="15">
    <w:abstractNumId w:val="1198296"/>
  </w:num>
  <w:num w:numId="16">
    <w:abstractNumId w:val="1198297"/>
  </w:num>
  <w:num w:numId="17">
    <w:abstractNumId w:val="1198298"/>
  </w:num>
  <w:num w:numId="18">
    <w:abstractNumId w:val="1198299"/>
  </w:num>
  <w:num w:numId="19">
    <w:abstractNumId w:val="1198300"/>
  </w:num>
  <w:num w:numId="20">
    <w:abstractNumId w:val="1198301"/>
  </w:num>
  <w:num w:numId="21">
    <w:abstractNumId w:val="1198302"/>
  </w:num>
  <w:num w:numId="22">
    <w:abstractNumId w:val="1198303"/>
  </w:num>
  <w:num w:numId="23">
    <w:abstractNumId w:val="1198304"/>
  </w:num>
  <w:num w:numId="24">
    <w:abstractNumId w:val="1198305"/>
  </w:num>
  <w:num w:numId="25">
    <w:abstractNumId w:val="1198306"/>
  </w:num>
  <w:num w:numId="26">
    <w:abstractNumId w:val="1198307"/>
  </w:num>
  <w:num w:numId="27">
    <w:abstractNumId w:val="1198308"/>
  </w:num>
  <w:num w:numId="28">
    <w:abstractNumId w:val="1198309"/>
  </w:num>
  <w:num w:numId="29">
    <w:abstractNumId w:val="1198310"/>
  </w:num>
  <w:num w:numId="30">
    <w:abstractNumId w:val="1198311"/>
  </w:num>
  <w:num w:numId="31">
    <w:abstractNumId w:val="1198312"/>
  </w:num>
  <w:num w:numId="32">
    <w:abstractNumId w:val="1198313"/>
  </w:num>
  <w:num w:numId="33">
    <w:abstractNumId w:val="1198314"/>
  </w:num>
  <w:num w:numId="34">
    <w:abstractNumId w:val="1198315"/>
  </w:num>
  <w:num w:numId="35">
    <w:abstractNumId w:val="1198316"/>
  </w:num>
  <w:num w:numId="36">
    <w:abstractNumId w:val="1198317"/>
  </w:num>
  <w:num w:numId="37">
    <w:abstractNumId w:val="1198318"/>
  </w:num>
  <w:num w:numId="38">
    <w:abstractNumId w:val="1198319"/>
  </w:num>
  <w:num w:numId="39">
    <w:abstractNumId w:val="1198320"/>
  </w:num>
  <w:num w:numId="40">
    <w:abstractNumId w:val="1198321"/>
  </w:num>
  <w:num w:numId="41">
    <w:abstractNumId w:val="1198322"/>
  </w:num>
  <w:num w:numId="42">
    <w:abstractNumId w:val="1198323"/>
  </w:num>
  <w:num w:numId="43">
    <w:abstractNumId w:val="119832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2026-06-22T09:34:25Z</dcterms:created>
  <dc:creator>Apache POI</dc:creator>
</cp:coreProperties>
</file>