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04-cqunews-概要设计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《CQUNEWS 新闻智能摘要与标题生成系统》 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 xml:space="preserve">API调用版 系统概要设计 </w:t>
      </w:r>
      <w:bookmarkEnd w:id="1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 xml:space="preserve">版本历史 </w:t>
      </w:r>
      <w:bookmarkEnd w:id="2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26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 xml:space="preserve">目录 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第一部分 引言 ......................................................................................... 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一、编写目的 ................................................................................... 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二、读者对象 ................................................................................... 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三、术语与缩写解释 ....................................................................... 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四、参考资料 ................................................................................... 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第二部分 项目概述 ................................................................................. 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一、项目描述 ................................................................................... 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二、项目功能描述 ........................................................................... 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第三部分 设计约束 ................................................................................. 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一、需求约束 ................................................................................... 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二、隐含约束 ................................................................................... 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第四部分 系统方案设计 ......................................................................... 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一、安全设计（全API场景专项） ................................................... 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二、核心业务流程设计 ................................................................... 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三、业务功能概要结构 ................................................................... 12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四、模块定义 ................................................................................. 13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第五部分 E-R实体设计 ....................................................................... 15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一、E-R实体结构图 ......................................................................... 15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二、实体描述 ................................................................................. 15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第六部分 总体设计 ............................................................................... 18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一、逻辑架构设计 ......................................................................... 18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二、物理架构设计 ......................................................................... 19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三、技术架构设计 ......................................................................... 20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第七部分 用户界面设计 ....................................................................... 21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一、通用布局规范 ......................................................................... 21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二、核心界面设计 ......................................................................... 21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三、新增API配置后台界面 ............................................................. 22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第八部分 算法设计 ............................................................................... 24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一、运行环境说明 ......................................................................... 24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二、核心算法模块要求 .................................................................. 24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三、Prompt工程与API优化策略 ................................................... 25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第九部分 运行环境和部署 ............................................................... 26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一、运行环境配置 ......................................................................... 26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二、部署方案 ................................................................................. 27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三、性能与成本保障机制 ............................................................. 28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第一部分 引言 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 xml:space="preserve">一、编写目的 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</w:t>
      </w:r>
      <w:r>
        <w:rPr>
          <w:rFonts w:eastAsia="等线" w:ascii="Arial" w:cs="Arial" w:hAnsi="Arial"/>
          <w:b w:val="true"/>
          <w:sz w:val="22"/>
        </w:rPr>
        <w:t>全外部API调用版</w:t>
      </w:r>
      <w:r>
        <w:rPr>
          <w:rFonts w:eastAsia="等线" w:ascii="Arial" w:cs="Arial" w:hAnsi="Arial"/>
          <w:sz w:val="22"/>
        </w:rPr>
        <w:t>CQUNEWS系统的核心技术方案，明确在无本地模型部署的前提下，如何通过外部合规大模型API实现全部AI能力，同时保障数据安全、性能达标、成本可控。本文档是后续开发、测试、验收、运维的唯一法定依据，所有调整需以本文档为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 xml:space="preserve">二、读者对象 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用户代表、系统架构师、开发工程师、测试工程师、运维工程师、财务成本管控人员。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 xml:space="preserve">三、术语与缩写解释 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与需求说明书保持一致，新增API相关术语：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外部大模型API</w:t>
      </w:r>
      <w:r>
        <w:rPr>
          <w:rFonts w:eastAsia="等线" w:ascii="Arial" w:cs="Arial" w:hAnsi="Arial"/>
          <w:sz w:val="22"/>
        </w:rPr>
        <w:t>：指由合规厂商提供的、可通过公网调用的NLP能力接口，如DeepSeek、通义千问、文心一言等，本系统所有AI能力（NER、摘要、标题、校验）均由此类API提供。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API网关</w:t>
      </w:r>
      <w:r>
        <w:rPr>
          <w:rFonts w:eastAsia="等线" w:ascii="Arial" w:cs="Arial" w:hAnsi="Arial"/>
          <w:sz w:val="22"/>
        </w:rPr>
        <w:t>：系统内部统一封装外部API调用的适配层，负责鉴权、重试、限流、故障转移、成本核算。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Prompt模板</w:t>
      </w:r>
      <w:r>
        <w:rPr>
          <w:rFonts w:eastAsia="等线" w:ascii="Arial" w:cs="Arial" w:hAnsi="Arial"/>
          <w:sz w:val="22"/>
        </w:rPr>
        <w:t>：针对新闻场景定制的API输入指令，用于约束大模型输出格式、内容规范，保障结果符合媒体要求。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降级兜底</w:t>
      </w:r>
      <w:r>
        <w:rPr>
          <w:rFonts w:eastAsia="等线" w:ascii="Arial" w:cs="Arial" w:hAnsi="Arial"/>
          <w:sz w:val="22"/>
        </w:rPr>
        <w:t>：当外部API不可用时，系统自动切换至本地轻量算法（如抽取式摘要）保障业务连续性。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 xml:space="preserve">四、参考资料 </w:t>
      </w:r>
      <w:bookmarkEnd w:id="8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《CQUNEWS 新闻智能摘要与标题生成系统需求说明书 V2.0》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《RESTful API设计规范 V1.0》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《MySQL 8.0 数据库设计规范》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《Docker 容器化部署最佳实践》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所选大模型厂商API官方文档（DeepSeek/通义千问/文心一言等）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《信息安全等级保护基本要求》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 xml:space="preserve">第二部分 项目概述 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 xml:space="preserve">一、项目描述 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全媒体新闻日均新增超300万条，传统人工处理单篇需8~15分钟，存在效率低、标题党泛滥、摘要失真、多渠道适配成本高等痛点。本版本放弃本地模型部署，全部AI能力通过外部合规大模型API实现，无需自建GPU集群，大幅降低运维成本；同时通过传输加密、数据脱敏、厂商安全协议、降级兜底机制，保障新闻素材安全与业务连续性，实现文本接入、要素抽取、长短摘要生成、多风格标题产出、事实一致性校验、结果存储导出的全闭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 xml:space="preserve">二、项目功能描述 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系统核心覆盖6大业务模块，所有AI能力均由外部API提供，支持单篇手动输入、批量文档导入两种使用模式：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文本接入预处理</w:t>
      </w:r>
      <w:r>
        <w:rPr>
          <w:rFonts w:eastAsia="等线" w:ascii="Arial" w:cs="Arial" w:hAnsi="Arial"/>
          <w:sz w:val="22"/>
        </w:rPr>
        <w:t>：支持10万字内单篇文本录入、200篇批量TXT/DOCX/PDF上传、网页URL抓取，自动完成编码转换、HTML清洗、噪声去除、语义分段。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新闻要素抽取</w:t>
      </w:r>
      <w:r>
        <w:rPr>
          <w:rFonts w:eastAsia="等线" w:ascii="Arial" w:cs="Arial" w:hAnsi="Arial"/>
          <w:sz w:val="22"/>
        </w:rPr>
        <w:t>：调用外部大模型API识别人物、时间、地点、机构等核心实体，原文高亮标注，支持人工修正，输出5-10个权重关键词。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长短摘要生成</w:t>
      </w:r>
      <w:r>
        <w:rPr>
          <w:rFonts w:eastAsia="等线" w:ascii="Arial" w:cs="Arial" w:hAnsi="Arial"/>
          <w:sz w:val="22"/>
        </w:rPr>
        <w:t>：同步调用API生成两类摘要：≤50字短摘要（适配信息流/推送）、≤150字长摘要（适配详情页/SEO）；支持抽取式（本地轻量算法，无API依赖）与生成式（API驱动）模式切换。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多风格标题生成</w:t>
      </w:r>
      <w:r>
        <w:rPr>
          <w:rFonts w:eastAsia="等线" w:ascii="Arial" w:cs="Arial" w:hAnsi="Arial"/>
          <w:sz w:val="22"/>
        </w:rPr>
        <w:t>：调用API批量输出客观纪实型、数据亮点型、轻量化推荐型三类标题，支持二次改写，自动校验标题与正文匹配度。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事实一致性校验</w:t>
      </w:r>
      <w:r>
        <w:rPr>
          <w:rFonts w:eastAsia="等线" w:ascii="Arial" w:cs="Arial" w:hAnsi="Arial"/>
          <w:sz w:val="22"/>
        </w:rPr>
        <w:t>：调用API实现三重校验：关键信息覆盖检测、摘要失真幻觉检测、标题偏离度检测，以红橙绿三色可视化提示风险等级。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结果管理与导出</w:t>
      </w:r>
      <w:r>
        <w:rPr>
          <w:rFonts w:eastAsia="等线" w:ascii="Arial" w:cs="Arial" w:hAnsi="Arial"/>
          <w:sz w:val="22"/>
        </w:rPr>
        <w:t>：支持历史记录多条件筛选、在线编辑、版本回滚、一键复制、多格式（TXT/DOCX/JSON/ZIP）导出、第三方CMS系统对接。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内容对比：多版本摘要/标题对比视图，支持编辑选择最优版本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8.智能推荐：基于历史编辑行为，推荐相似新闻的处理模板或风格偏好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（考虑扩展：协同编辑：多人协作处理同一篇新闻，留痕与版本管理）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自动分类/打标 ：对新闻自动分类（时政/财经/民生/科技等），便于后续检索和统计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情感分析：对新闻正文进行情感倾向分析（正面/负面/中性），辅助编辑判断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热点追踪：基于关键词频次和实体共现，自动识别热点话题和趋势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新闻简报自动生成：将多篇同类新闻自动聚合，生成每日/每周新闻简报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 xml:space="preserve">第三部分 设计约束 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 xml:space="preserve">一、需求约束 </w:t>
      </w:r>
      <w:bookmarkEnd w:id="13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 xml:space="preserve">二、隐含约束 </w:t>
      </w:r>
      <w:bookmarkEnd w:id="14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用户为无编程基础的媒体编辑，需内置新手引导、操作提示，无需线下培训即可使用。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所有新闻素材仅做API调用临时传输，不得留存于API厂商服务器，需与厂商签订数据安全协议（DPA）。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可变参数（摘要长度、标题数量、API优先级等）支持后台配置，无需修改代码即可调整。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API调用超时、限流、故障时自动优雅降级，给出清晰提示，不丢失用户输入文本。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单日API调用成本设置配额告警，超出阈值自动暂停非核心业务调用。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 xml:space="preserve">第四部分 系统方案设计 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 xml:space="preserve">一、安全设计（全API场景专项） </w:t>
      </w:r>
      <w:bookmarkEnd w:id="16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传输安全</w:t>
      </w:r>
      <w:r>
        <w:rPr>
          <w:rFonts w:eastAsia="等线" w:ascii="Arial" w:cs="Arial" w:hAnsi="Arial"/>
          <w:sz w:val="22"/>
        </w:rPr>
        <w:t>：全链路HTTPS加密，外部API调用采用请求签名（HMAC-SHA256）+时间戳防重放，API Key定期轮换，不硬编码于代码中。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数据安全</w:t>
      </w:r>
      <w:r>
        <w:rPr>
          <w:rFonts w:eastAsia="等线" w:ascii="Arial" w:cs="Arial" w:hAnsi="Arial"/>
          <w:sz w:val="22"/>
        </w:rPr>
        <w:t>：新闻原文仅在API调用时临时传输，不与用户身份信息绑定；敏感字段（如涉密人物/机构）在调用API前自动脱敏，返回结果后自动还原；与API厂商签订DPA协议，明确厂商不得留存素材、不得用于模型训练。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权限安全</w:t>
      </w:r>
      <w:r>
        <w:rPr>
          <w:rFonts w:eastAsia="等线" w:ascii="Arial" w:cs="Arial" w:hAnsi="Arial"/>
          <w:sz w:val="22"/>
        </w:rPr>
        <w:t>：三级权限管控（普通编辑/高级运营/系统管理员），越权操作直接拦截并记录日志；API Key仅管理员可见，支持按角色分配API调用权限。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内容安全</w:t>
      </w:r>
      <w:r>
        <w:rPr>
          <w:rFonts w:eastAsia="等线" w:ascii="Arial" w:cs="Arial" w:hAnsi="Arial"/>
          <w:sz w:val="22"/>
        </w:rPr>
        <w:t>：三重校验机制前置拦截违规内容，敏感词库实时更新；高风险内容人工复核后才可导出。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API安全</w:t>
      </w:r>
      <w:r>
        <w:rPr>
          <w:rFonts w:eastAsia="等线" w:ascii="Arial" w:cs="Arial" w:hAnsi="Arial"/>
          <w:sz w:val="22"/>
        </w:rPr>
        <w:t>：API网关层配置速率限制，防止单用户恶意刷量；支持IP白名单，仅允许应用服务器IP调用API厂商端点。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 xml:space="preserve">二、核心业务流程设计 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 xml:space="preserve">用户登录流程 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766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异常分支：密码错误/验证码失效提示重试；连续5次失败锁定账号30分钟；网络异常提示检查连接。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 xml:space="preserve">单篇新闻处理全流程（API驱动） 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531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异常分支：原文不足50字禁止进入下一步；API超时10秒自动重试（最多3次），仍失败则切换备用API厂商；全部API不可用时自动切换至抽取式摘要兜底；服务器高负载时提示排队。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 xml:space="preserve">批量文档处理流程 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912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异常分支：格式错误/超10MB/空白文档标记失败，不阻塞其他任务；API限流时自动延迟重试，保障任务最终完成。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 xml:space="preserve">历史记录管理流程 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8110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8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color w:val="3370ff"/>
          <w:sz w:val="28"/>
        </w:rPr>
        <w:t xml:space="preserve">5. </w:t>
      </w:r>
      <w:r>
        <w:rPr>
          <w:rFonts w:eastAsia="等线" w:ascii="Arial" w:cs="Arial" w:hAnsi="Arial"/>
          <w:b w:val="true"/>
          <w:sz w:val="28"/>
        </w:rPr>
        <w:t xml:space="preserve">管理员API配置流程 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4587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45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 xml:space="preserve">三、业务功能概要结构 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242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四、模块定义</w:t>
      </w:r>
      <w:bookmarkEnd w:id="24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6" o:title=""/>
          </v:shape>
          <o:OLEObject DrawAspect="Icon" ObjectID="_1718471221" ProgID="Excel.Sheet.12" ShapeID="_x0000_i1027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 xml:space="preserve">第五部分 E-R实体设计 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 xml:space="preserve">一、E-R实体结构图 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6300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63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 xml:space="preserve">二、实体描述 </w:t>
      </w:r>
      <w:bookmarkEnd w:id="2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 xml:space="preserve">User（用户实体） </w:t>
      </w:r>
      <w:bookmarkEnd w:id="28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9" o:title=""/>
          </v:shape>
          <o:OLEObject DrawAspect="Icon" ObjectID="_1718471222" ProgID="Excel.Sheet.12" ShapeID="_x0000_i1028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 xml:space="preserve">History（历史记录实体） </w:t>
      </w:r>
      <w:bookmarkEnd w:id="29"/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21" o:title=""/>
          </v:shape>
          <o:OLEObject DrawAspect="Icon" ObjectID="_1718471223" ProgID="Excel.Sheet.12" ShapeID="_x0000_i1029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 xml:space="preserve">ApiConfig（API厂商配置实体，新增） </w:t>
      </w:r>
      <w:bookmarkEnd w:id="30"/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23" o:title=""/>
          </v:shape>
          <o:OLEObject DrawAspect="Icon" ObjectID="_1718471224" ProgID="Excel.Sheet.12" ShapeID="_x0000_i1030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 xml:space="preserve">CostLog（成本日志实体，新增） </w:t>
      </w:r>
      <w:bookmarkEnd w:id="31"/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25" o:title=""/>
          </v:shape>
          <o:OLEObject DrawAspect="Icon" ObjectID="_1718471225" ProgID="Excel.Sheet.12" ShapeID="_x0000_i1031" Type="Embed" r:id="rId2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color w:val="3370ff"/>
          <w:sz w:val="28"/>
        </w:rPr>
        <w:t xml:space="preserve">5. </w:t>
      </w:r>
      <w:r>
        <w:rPr>
          <w:rFonts w:eastAsia="等线" w:ascii="Arial" w:cs="Arial" w:hAnsi="Arial"/>
          <w:b w:val="true"/>
          <w:sz w:val="28"/>
        </w:rPr>
        <w:t xml:space="preserve">SourceConfig（信源配置实体） </w:t>
      </w:r>
      <w:bookmarkEnd w:id="32"/>
    </w:p>
    <w:p>
      <w:pPr>
        <w:spacing w:before="120" w:after="120" w:line="288" w:lineRule="auto"/>
        <w:ind w:left="0"/>
      </w:pPr>
      <w:r>
        <w:object>
          <v:shape id="_x0000_i1032" style="width:414pt;height:197pt;mso-width-percent:0;mso-height-percent:0;mso-width-percent:0;mso-height-percent:0" type="#_x0000_t75" o:ole="">
            <v:imagedata r:id="rId27" o:title=""/>
          </v:shape>
          <o:OLEObject DrawAspect="Icon" ObjectID="_1718471226" ProgID="Excel.Sheet.12" ShapeID="_x0000_i1032" Type="Embed" r:id="rId2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color w:val="3370ff"/>
          <w:sz w:val="28"/>
        </w:rPr>
        <w:t xml:space="preserve">6. </w:t>
      </w:r>
      <w:r>
        <w:rPr>
          <w:rFonts w:eastAsia="等线" w:ascii="Arial" w:cs="Arial" w:hAnsi="Arial"/>
          <w:b w:val="true"/>
          <w:sz w:val="28"/>
        </w:rPr>
        <w:t xml:space="preserve">OperationLog（操作日志实体） </w:t>
      </w:r>
      <w:bookmarkEnd w:id="33"/>
    </w:p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29" o:title=""/>
          </v:shape>
          <o:OLEObject DrawAspect="Icon" ObjectID="_1718471227" ProgID="Excel.Sheet.12" ShapeID="_x0000_i1033" Type="Embed" r:id="rId2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 xml:space="preserve">第六部分 总体设计 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 xml:space="preserve">一、逻辑架构设计 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前后端分离+微服务+API网关</w:t>
      </w:r>
      <w:r>
        <w:rPr>
          <w:rFonts w:eastAsia="等线" w:ascii="Arial" w:cs="Arial" w:hAnsi="Arial"/>
          <w:sz w:val="22"/>
        </w:rPr>
        <w:t>的四层架构，无本地模型依赖，所有AI能力通过API网关调用外部厂商：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001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 xml:space="preserve">二、物理架构设计 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遵循</w:t>
      </w:r>
      <w:r>
        <w:rPr>
          <w:rFonts w:eastAsia="等线" w:ascii="Arial" w:cs="Arial" w:hAnsi="Arial"/>
          <w:b w:val="true"/>
          <w:sz w:val="22"/>
        </w:rPr>
        <w:t>最小权限、数据不落地</w:t>
      </w:r>
      <w:r>
        <w:rPr>
          <w:rFonts w:eastAsia="等线" w:ascii="Arial" w:cs="Arial" w:hAnsi="Arial"/>
          <w:sz w:val="22"/>
        </w:rPr>
        <w:t>原则部署：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002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公网仅开放443端口用于客户端访问，应用服务器IP白名单配置于API厂商后台，防止API Key泄露后被滥用。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数据库服务器无公网IP，仅允许应用服务器访问，敏感数据加密存储。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 xml:space="preserve">三、技术架构设计 </w:t>
      </w:r>
      <w:bookmarkEnd w:id="37"/>
    </w:p>
    <w:p>
      <w:pPr>
        <w:spacing w:before="120" w:after="120" w:line="288" w:lineRule="auto"/>
        <w:ind w:left="0"/>
      </w:pPr>
      <w:r>
        <w:object>
          <v:shape id="_x0000_i1034" style="width:414pt;height:158pt;mso-width-percent:0;mso-height-percent:0;mso-width-percent:0;mso-height-percent:0" type="#_x0000_t75" o:ole="">
            <v:imagedata r:id="rId33" o:title=""/>
          </v:shape>
          <o:OLEObject DrawAspect="Icon" ObjectID="_1718471228" ProgID="Excel.Sheet.12" ShapeID="_x0000_i1034" Type="Embed" r:id="rId3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 xml:space="preserve">第七部分 用户界面设计 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 xml:space="preserve">一、通用布局规范 </w:t>
      </w:r>
      <w:bookmarkEnd w:id="39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左侧固定导航栏：包含首页、智能摘要、历史记录、舆情分析、系统管理（管理员可见）入口。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顶部操作栏：搜索框、用户信息、退出登录、新手引导入口。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核心页面采用三栏布局：左侧原文区、中间编辑区、右侧校验区。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风险提示统一用红（高危）/橙（预警）/绿（正常）三色标识。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 xml:space="preserve">二、核心界面设计 </w:t>
      </w:r>
      <w:bookmarkEnd w:id="40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登录页</w:t>
      </w:r>
      <w:r>
        <w:rPr>
          <w:rFonts w:eastAsia="等线" w:ascii="Arial" w:cs="Arial" w:hAnsi="Arial"/>
          <w:sz w:val="22"/>
        </w:rPr>
        <w:t>：简洁布局，包含账号、密码输入框、验证码、微信快捷登录入口，错误提示红色醒目显示。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注册页</w:t>
      </w:r>
      <w:r>
        <w:rPr>
          <w:rFonts w:eastAsia="等线" w:ascii="Arial" w:cs="Arial" w:hAnsi="Arial"/>
          <w:sz w:val="22"/>
        </w:rPr>
        <w:t>：手机号输入、验证码获取、密码强度校验（8位以上含大小写+数字）、用户协议勾选框、微信快捷注册入口。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新闻情报主页</w:t>
      </w:r>
      <w:r>
        <w:rPr>
          <w:rFonts w:eastAsia="等线" w:ascii="Arial" w:cs="Arial" w:hAnsi="Arial"/>
          <w:sz w:val="22"/>
        </w:rPr>
        <w:t>：左侧导航栏，顶部搜索框，下方按时间倒序展示最新处理记录，卡片展示当日处理量、成功率等核心指标。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智能摘要页</w:t>
      </w:r>
      <w:r>
        <w:rPr>
          <w:rFonts w:eastAsia="等线" w:ascii="Arial" w:cs="Arial" w:hAnsi="Arial"/>
          <w:sz w:val="22"/>
        </w:rPr>
        <w:t>：左侧原文高亮区（实体彩色标注、风险语句红色下划线）、中间AI生成区（预处理按钮、要素确认卡片、摘要生成按钮、标题生成按钮、在线编辑框）、右侧质量校验区（覆盖度卡片、幻觉检测提示、标题偏离度评分、三色风险标识）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历史管理页</w:t>
      </w:r>
      <w:r>
        <w:rPr>
          <w:rFonts w:eastAsia="等线" w:ascii="Arial" w:cs="Arial" w:hAnsi="Arial"/>
          <w:sz w:val="22"/>
        </w:rPr>
        <w:t>：顶部筛选栏（时间区间、关键词、处理状态），下方结果列表，点击单条记录侧滑抽屉展示完整原文、生成结果、校验详情，支持重新处理、编辑、导出操作。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舆情分析页</w:t>
      </w:r>
      <w:r>
        <w:rPr>
          <w:rFonts w:eastAsia="等线" w:ascii="Arial" w:cs="Arial" w:hAnsi="Arial"/>
          <w:sz w:val="22"/>
        </w:rPr>
        <w:t>：数据卡片展示30天处理总量、ROUGE平均分趋势曲线、高频关键词词云、各类新闻处理效率分布图表。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 xml:space="preserve">三、新增API配置后台界面（管理员专用） </w:t>
      </w:r>
      <w:bookmarkEnd w:id="41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API厂商管理页</w:t>
      </w:r>
      <w:r>
        <w:rPr>
          <w:rFonts w:eastAsia="等线" w:ascii="Arial" w:cs="Arial" w:hAnsi="Arial"/>
          <w:sz w:val="22"/>
        </w:rPr>
        <w:t>：列表展示已配置的厂商（名称、优先级、速率限制、启用状态、今日调用量、成功率），支持新增/编辑/删除厂商，配置端点URL、API Key、优先级、超时时间、重试次数。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故障转移配置页</w:t>
      </w:r>
      <w:r>
        <w:rPr>
          <w:rFonts w:eastAsia="等线" w:ascii="Arial" w:cs="Arial" w:hAnsi="Arial"/>
          <w:sz w:val="22"/>
        </w:rPr>
        <w:t>：设置主备API厂商，支持按任务类型（NER/摘要/标题/校验）配置不同的主备优先级，主厂商故障时自动切换至备用厂商。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成本统计页</w:t>
      </w:r>
      <w:r>
        <w:rPr>
          <w:rFonts w:eastAsia="等线" w:ascii="Arial" w:cs="Arial" w:hAnsi="Arial"/>
          <w:sz w:val="22"/>
        </w:rPr>
        <w:t>：可视化展示各厂商单日/单周/单月调用量、费用、成功率趋势，支持按用户、按任务类型筛选，设置单日/单用户调用配额，超出阈值自动告警。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 xml:space="preserve">第八部分 算法设计 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 xml:space="preserve">一、运行环境说明 </w:t>
      </w:r>
      <w:bookmarkEnd w:id="43"/>
    </w:p>
    <w:p>
      <w:pPr>
        <w:spacing w:before="120" w:after="120" w:line="288" w:lineRule="auto"/>
        <w:ind w:left="0"/>
      </w:pPr>
      <w:r>
        <w:object>
          <v:shape id="_x0000_i1035" style="width:414pt;height:115pt;mso-width-percent:0;mso-height-percent:0;mso-width-percent:0;mso-height-percent:0" type="#_x0000_t75" o:ole="">
            <v:imagedata r:id="rId35" o:title=""/>
          </v:shape>
          <o:OLEObject DrawAspect="Icon" ObjectID="_1718471229" ProgID="Excel.Sheet.12" ShapeID="_x0000_i1035" Type="Embed" r:id="rId3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 xml:space="preserve">二、核心算法模块要求 </w:t>
      </w:r>
      <w:bookmarkEnd w:id="44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NER要素抽取</w:t>
      </w:r>
      <w:r>
        <w:rPr>
          <w:rFonts w:eastAsia="等线" w:ascii="Arial" w:cs="Arial" w:hAnsi="Arial"/>
          <w:sz w:val="22"/>
        </w:rPr>
        <w:t>：采用外部大模型API实现，Prompt模板定制为新闻领域，要求识别人物、时间、地点、政府机构、企业单位、核心事件、关键数据7类实体，准确率≥95%；支持人工修正实体结果，修正后结果存入本地库用于优化Prompt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摘要生成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生成式：调用API实现，Prompt模板约束输出长度（短摘要≤50字、长摘要≤150字）、格式规范，ROUGE指标达标（短摘要ROUGE-1≥40%、ROUGE-2≥18%、ROUGE-L≥35%；长摘要ROUGE-1≥38%、ROUGE-2≥16%、ROUGE-L≥33%）。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抽取式：本地轻量TextRank+MMR算法实现，无API依赖，作为API故障时的兜底方案，零幻觉，适配时政新闻场景。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标题生成</w:t>
      </w:r>
      <w:r>
        <w:rPr>
          <w:rFonts w:eastAsia="等线" w:ascii="Arial" w:cs="Arial" w:hAnsi="Arial"/>
          <w:sz w:val="22"/>
        </w:rPr>
        <w:t>：调用API实现，Prompt模板约束输出3类风格（客观纪实型、数据亮点型、轻量化推荐型），每条标题≤20字；支持二次改写生成2-3条衍生标题，标题与正文偏离度≥80分。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事实一致性校验</w:t>
      </w:r>
      <w:r>
        <w:rPr>
          <w:rFonts w:eastAsia="等线" w:ascii="Arial" w:cs="Arial" w:hAnsi="Arial"/>
          <w:sz w:val="22"/>
        </w:rPr>
        <w:t>：调用API实现三重校验：①关键信息覆盖检测（核心实体在摘要/标题中的覆盖比例）；②幻觉检测（逐句判断摘要是否有原文支撑）；③标题偏离度检测（标题与正文语义相似度评分），结果以红橙绿三色可视化提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 xml:space="preserve">三、Prompt工程与API优化策略 </w:t>
      </w:r>
      <w:bookmarkEnd w:id="45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Prompt模板迭代</w:t>
      </w:r>
      <w:r>
        <w:rPr>
          <w:rFonts w:eastAsia="等线" w:ascii="Arial" w:cs="Arial" w:hAnsi="Arial"/>
          <w:sz w:val="22"/>
        </w:rPr>
        <w:t>：针对不同新闻类型（时政/财经/民生）定制差异化Prompt，注入Few-shot示例提升生成稳定性；每月收集编辑修正结果，优化Prompt模板，提升API输出准确率。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API调用优化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请求合并：批量任务时将相同类型的API请求合并，降低调用次数。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结果缓存：Redis缓存高频请求的API返回结果（TTL30分钟），相同原文+相同任务类型的请求直接返回缓存结果，降低成本。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异步重试：API超时/限流时自动重试（最多3次），仍失败则切换备用厂商，全部失败时降级至抽取式摘要。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成本优化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分级调用：核心业务（摘要/标题生成）调用高性能API厂商，非核心业务（关键词提取）调用低成本API厂商。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配额管控：设置单日/单用户调用上限，超出阈值自动暂停非核心业务调用，避免成本超支。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降级兜底策略</w:t>
      </w:r>
      <w:r>
        <w:rPr>
          <w:rFonts w:eastAsia="等线" w:ascii="Arial" w:cs="Arial" w:hAnsi="Arial"/>
          <w:sz w:val="22"/>
        </w:rPr>
        <w:t>：当所有API厂商不可用时，自动切换至本地抽取式摘要算法，保障业务连续性，同时提示用户“AI服务暂时不可用，已切换至本地摘要模式”。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 xml:space="preserve">第九部分 运行环境和部署 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 xml:space="preserve">一、运行环境配置 </w:t>
      </w:r>
      <w:bookmarkEnd w:id="4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 xml:space="preserve">服务器环境 </w:t>
      </w:r>
      <w:bookmarkEnd w:id="48"/>
    </w:p>
    <w:p>
      <w:pPr>
        <w:spacing w:before="120" w:after="120" w:line="288" w:lineRule="auto"/>
        <w:ind w:left="0"/>
      </w:pPr>
      <w:r>
        <w:object>
          <v:shape id="_x0000_i1036" style="width:414pt;height:93pt;mso-width-percent:0;mso-height-percent:0;mso-width-percent:0;mso-height-percent:0" type="#_x0000_t75" o:ole="">
            <v:imagedata r:id="rId37" o:title=""/>
          </v:shape>
          <o:OLEObject DrawAspect="Icon" ObjectID="_1718471230" ProgID="Excel.Sheet.12" ShapeID="_x0000_i1036" Type="Embed" r:id="rId3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 xml:space="preserve">客户端环境 </w:t>
      </w:r>
      <w:bookmarkEnd w:id="49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浏览器：Chrome90+/Edge90+，版本不低于Chrome90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硬件：内存≥4G，网络带宽≥10Mbps，屏幕分辨率≥1366 * 768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 xml:space="preserve">第三方依赖环境 </w:t>
      </w:r>
      <w:bookmarkEnd w:id="50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文档解析：Apache POI 5.2+（DOCX/PDF解析）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网页抓取：Jsoup 1.16+（HTML清洗）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可视化：ECharts 5.4+（统计图表）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API厂商：选择至少2家合规大模型厂商（如DeepSeek+通义千问），签订数据安全协议，要求SLA≥99.9%。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 xml:space="preserve">二、部署方案 </w:t>
      </w:r>
      <w:bookmarkEnd w:id="51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容器化部署</w:t>
      </w:r>
      <w:r>
        <w:rPr>
          <w:rFonts w:eastAsia="等线" w:ascii="Arial" w:cs="Arial" w:hAnsi="Arial"/>
          <w:sz w:val="22"/>
        </w:rPr>
        <w:t>：所有微服务打包为Docker镜像，通过Docker Compose编排，支持独立扩容API网关、批量任务调度等高负载模块。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安全部署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应用服务器IP加入API厂商白名单，仅允许该IP调用API端点。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API Key加密存储于配置中心，定期轮换，不硬编码于代码中。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敏感数据（用户密码、新闻原文）AES加密存储，传输过程HTTPS加密。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灰度发布</w:t>
      </w:r>
      <w:r>
        <w:rPr>
          <w:rFonts w:eastAsia="等线" w:ascii="Arial" w:cs="Arial" w:hAnsi="Arial"/>
          <w:sz w:val="22"/>
        </w:rPr>
        <w:t>：API厂商切换、Prompt模板更新时，先开放给10%的高级运营用户试用，验证指标达标后全量发布，支持一键回滚。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备份策略</w:t>
      </w:r>
      <w:r>
        <w:rPr>
          <w:rFonts w:eastAsia="等线" w:ascii="Arial" w:cs="Arial" w:hAnsi="Arial"/>
          <w:sz w:val="22"/>
        </w:rPr>
        <w:t>：MySQL每日全量备份，每小时增量备份；Redis开启AOF持久化，保留7天历史数据。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 xml:space="preserve">三、性能与成本保障机制 </w:t>
      </w:r>
      <w:bookmarkEnd w:id="52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可用性保障</w:t>
      </w:r>
      <w:r>
        <w:rPr>
          <w:rFonts w:eastAsia="等线" w:ascii="Arial" w:cs="Arial" w:hAnsi="Arial"/>
          <w:sz w:val="22"/>
        </w:rPr>
        <w:t>：全年服务可用率≥99.5%，核心服务部署主备节点，故障自动切换，平均修复时间MTTR≤2小时；API厂商故障时30秒内自动切换至备用厂商，全部故障时降级至本地抽取式摘要。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性能保障</w:t>
      </w:r>
      <w:r>
        <w:rPr>
          <w:rFonts w:eastAsia="等线" w:ascii="Arial" w:cs="Arial" w:hAnsi="Arial"/>
          <w:sz w:val="22"/>
        </w:rPr>
        <w:t>：单篇文本短摘要生成响应≤3s（API正常时），标题批量生成响应≤2s；支持100人并发在线操作，批量单次支持50篇文档并行处理；Redis缓存命中率≥80%，降低API调用延迟。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成本保障</w:t>
      </w:r>
      <w:r>
        <w:rPr>
          <w:rFonts w:eastAsia="等线" w:ascii="Arial" w:cs="Arial" w:hAnsi="Arial"/>
          <w:sz w:val="22"/>
        </w:rPr>
        <w:t>：单日API调用成本设置配额告警，超出阈值的80%时发送预警，超出阈值时自动暂停非核心业务调用；每月生成成本报表，分析高成本任务类型，优化Prompt降低调用次数。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监控告警</w:t>
      </w:r>
      <w:r>
        <w:rPr>
          <w:rFonts w:eastAsia="等线" w:ascii="Arial" w:cs="Arial" w:hAnsi="Arial"/>
          <w:sz w:val="22"/>
        </w:rPr>
        <w:t>：部署Prometheus+Grafana监控系统资源、服务状态、API调用成功率、响应时间、成本消耗，异常阈值触发邮件/短信告警；API厂商SLA不达标时自动触发索赔流程。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 xml:space="preserve">附录：需求与设计对应表 </w:t>
      </w:r>
      <w:bookmarkEnd w:id="53"/>
    </w:p>
    <w:p>
      <w:pPr>
        <w:spacing w:before="120" w:after="120" w:line="288" w:lineRule="auto"/>
        <w:ind w:left="0"/>
      </w:pPr>
      <w:r>
        <w:object>
          <v:shape id="_x0000_i1037" style="width:414pt;height:147pt;mso-width-percent:0;mso-height-percent:0;mso-width-percent:0;mso-height-percent:0" type="#_x0000_t75" o:ole="">
            <v:imagedata r:id="rId39" o:title=""/>
          </v:shape>
          <o:OLEObject DrawAspect="Icon" ObjectID="_1718471231" ProgID="Excel.Sheet.12" ShapeID="_x0000_i1037" Type="Embed" r:id="rId3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43441">
    <w:lvl>
      <w:start w:val="1"/>
      <w:numFmt w:val="decimal"/>
      <w:suff w:val="tab"/>
      <w:lvlText w:val="%1."/>
      <w:rPr>
        <w:color w:val="3370ff"/>
      </w:rPr>
    </w:lvl>
  </w:abstractNum>
  <w:abstractNum w:abstractNumId="543442">
    <w:lvl>
      <w:start w:val="2"/>
      <w:numFmt w:val="decimal"/>
      <w:suff w:val="tab"/>
      <w:lvlText w:val="%1."/>
      <w:rPr>
        <w:color w:val="3370ff"/>
      </w:rPr>
    </w:lvl>
  </w:abstractNum>
  <w:abstractNum w:abstractNumId="543443">
    <w:lvl>
      <w:start w:val="3"/>
      <w:numFmt w:val="decimal"/>
      <w:suff w:val="tab"/>
      <w:lvlText w:val="%1."/>
      <w:rPr>
        <w:color w:val="3370ff"/>
      </w:rPr>
    </w:lvl>
  </w:abstractNum>
  <w:abstractNum w:abstractNumId="543444">
    <w:lvl>
      <w:start w:val="4"/>
      <w:numFmt w:val="decimal"/>
      <w:suff w:val="tab"/>
      <w:lvlText w:val="%1."/>
      <w:rPr>
        <w:color w:val="3370ff"/>
      </w:rPr>
    </w:lvl>
  </w:abstractNum>
  <w:abstractNum w:abstractNumId="543445">
    <w:lvl>
      <w:start w:val="1"/>
      <w:numFmt w:val="decimal"/>
      <w:suff w:val="tab"/>
      <w:lvlText w:val="%1."/>
      <w:rPr>
        <w:color w:val="3370ff"/>
      </w:rPr>
    </w:lvl>
  </w:abstractNum>
  <w:abstractNum w:abstractNumId="543446">
    <w:lvl>
      <w:start w:val="2"/>
      <w:numFmt w:val="decimal"/>
      <w:suff w:val="tab"/>
      <w:lvlText w:val="%1."/>
      <w:rPr>
        <w:color w:val="3370ff"/>
      </w:rPr>
    </w:lvl>
  </w:abstractNum>
  <w:abstractNum w:abstractNumId="543447">
    <w:lvl>
      <w:start w:val="3"/>
      <w:numFmt w:val="decimal"/>
      <w:suff w:val="tab"/>
      <w:lvlText w:val="%1."/>
      <w:rPr>
        <w:color w:val="3370ff"/>
      </w:rPr>
    </w:lvl>
  </w:abstractNum>
  <w:abstractNum w:abstractNumId="543448">
    <w:lvl>
      <w:start w:val="4"/>
      <w:numFmt w:val="decimal"/>
      <w:suff w:val="tab"/>
      <w:lvlText w:val="%1."/>
      <w:rPr>
        <w:color w:val="3370ff"/>
      </w:rPr>
    </w:lvl>
  </w:abstractNum>
  <w:abstractNum w:abstractNumId="543449">
    <w:lvl>
      <w:start w:val="5"/>
      <w:numFmt w:val="decimal"/>
      <w:suff w:val="tab"/>
      <w:lvlText w:val="%1."/>
      <w:rPr>
        <w:color w:val="3370ff"/>
      </w:rPr>
    </w:lvl>
  </w:abstractNum>
  <w:abstractNum w:abstractNumId="543450">
    <w:lvl>
      <w:start w:val="6"/>
      <w:numFmt w:val="decimal"/>
      <w:suff w:val="tab"/>
      <w:lvlText w:val="%1."/>
      <w:rPr>
        <w:color w:val="3370ff"/>
      </w:rPr>
    </w:lvl>
  </w:abstractNum>
  <w:abstractNum w:abstractNumId="543451">
    <w:lvl>
      <w:start w:val="1"/>
      <w:numFmt w:val="decimal"/>
      <w:suff w:val="tab"/>
      <w:lvlText w:val="%1."/>
      <w:rPr>
        <w:color w:val="3370ff"/>
      </w:rPr>
    </w:lvl>
  </w:abstractNum>
  <w:abstractNum w:abstractNumId="543452">
    <w:lvl>
      <w:start w:val="2"/>
      <w:numFmt w:val="decimal"/>
      <w:suff w:val="tab"/>
      <w:lvlText w:val="%1."/>
      <w:rPr>
        <w:color w:val="3370ff"/>
      </w:rPr>
    </w:lvl>
  </w:abstractNum>
  <w:abstractNum w:abstractNumId="543453">
    <w:lvl>
      <w:start w:val="3"/>
      <w:numFmt w:val="decimal"/>
      <w:suff w:val="tab"/>
      <w:lvlText w:val="%1."/>
      <w:rPr>
        <w:color w:val="3370ff"/>
      </w:rPr>
    </w:lvl>
  </w:abstractNum>
  <w:abstractNum w:abstractNumId="543454">
    <w:lvl>
      <w:start w:val="4"/>
      <w:numFmt w:val="decimal"/>
      <w:suff w:val="tab"/>
      <w:lvlText w:val="%1."/>
      <w:rPr>
        <w:color w:val="3370ff"/>
      </w:rPr>
    </w:lvl>
  </w:abstractNum>
  <w:abstractNum w:abstractNumId="543455">
    <w:lvl>
      <w:start w:val="5"/>
      <w:numFmt w:val="decimal"/>
      <w:suff w:val="tab"/>
      <w:lvlText w:val="%1."/>
      <w:rPr>
        <w:color w:val="3370ff"/>
      </w:rPr>
    </w:lvl>
  </w:abstractNum>
  <w:abstractNum w:abstractNumId="543456">
    <w:lvl>
      <w:start w:val="6"/>
      <w:numFmt w:val="decimal"/>
      <w:suff w:val="tab"/>
      <w:lvlText w:val="%1."/>
      <w:rPr>
        <w:color w:val="3370ff"/>
      </w:rPr>
    </w:lvl>
  </w:abstractNum>
  <w:abstractNum w:abstractNumId="543457">
    <w:lvl>
      <w:start w:val="7"/>
      <w:numFmt w:val="decimal"/>
      <w:suff w:val="tab"/>
      <w:lvlText w:val="%1."/>
      <w:rPr>
        <w:color w:val="3370ff"/>
      </w:rPr>
    </w:lvl>
  </w:abstractNum>
  <w:abstractNum w:abstractNumId="543458">
    <w:lvl>
      <w:start w:val="1"/>
      <w:numFmt w:val="decimal"/>
      <w:suff w:val="tab"/>
      <w:lvlText w:val="%1."/>
      <w:rPr>
        <w:color w:val="3370ff"/>
      </w:rPr>
    </w:lvl>
  </w:abstractNum>
  <w:abstractNum w:abstractNumId="543459">
    <w:lvl>
      <w:start w:val="2"/>
      <w:numFmt w:val="decimal"/>
      <w:suff w:val="tab"/>
      <w:lvlText w:val="%1."/>
      <w:rPr>
        <w:color w:val="3370ff"/>
      </w:rPr>
    </w:lvl>
  </w:abstractNum>
  <w:abstractNum w:abstractNumId="543460">
    <w:lvl>
      <w:start w:val="3"/>
      <w:numFmt w:val="decimal"/>
      <w:suff w:val="tab"/>
      <w:lvlText w:val="%1."/>
      <w:rPr>
        <w:color w:val="3370ff"/>
      </w:rPr>
    </w:lvl>
  </w:abstractNum>
  <w:abstractNum w:abstractNumId="543461">
    <w:lvl>
      <w:start w:val="4"/>
      <w:numFmt w:val="decimal"/>
      <w:suff w:val="tab"/>
      <w:lvlText w:val="%1."/>
      <w:rPr>
        <w:color w:val="3370ff"/>
      </w:rPr>
    </w:lvl>
  </w:abstractNum>
  <w:abstractNum w:abstractNumId="543462">
    <w:lvl>
      <w:start w:val="5"/>
      <w:numFmt w:val="decimal"/>
      <w:suff w:val="tab"/>
      <w:lvlText w:val="%1."/>
      <w:rPr>
        <w:color w:val="3370ff"/>
      </w:rPr>
    </w:lvl>
  </w:abstractNum>
  <w:abstractNum w:abstractNumId="543463">
    <w:lvl>
      <w:start w:val="1"/>
      <w:numFmt w:val="decimal"/>
      <w:suff w:val="tab"/>
      <w:lvlText w:val="%1."/>
      <w:rPr>
        <w:color w:val="3370ff"/>
      </w:rPr>
    </w:lvl>
  </w:abstractNum>
  <w:abstractNum w:abstractNumId="543464">
    <w:lvl>
      <w:start w:val="2"/>
      <w:numFmt w:val="decimal"/>
      <w:suff w:val="tab"/>
      <w:lvlText w:val="%1."/>
      <w:rPr>
        <w:color w:val="3370ff"/>
      </w:rPr>
    </w:lvl>
  </w:abstractNum>
  <w:abstractNum w:abstractNumId="543465">
    <w:lvl>
      <w:start w:val="3"/>
      <w:numFmt w:val="decimal"/>
      <w:suff w:val="tab"/>
      <w:lvlText w:val="%1."/>
      <w:rPr>
        <w:color w:val="3370ff"/>
      </w:rPr>
    </w:lvl>
  </w:abstractNum>
  <w:abstractNum w:abstractNumId="543466">
    <w:lvl>
      <w:start w:val="4"/>
      <w:numFmt w:val="decimal"/>
      <w:suff w:val="tab"/>
      <w:lvlText w:val="%1."/>
      <w:rPr>
        <w:color w:val="3370ff"/>
      </w:rPr>
    </w:lvl>
  </w:abstractNum>
  <w:abstractNum w:abstractNumId="543467">
    <w:lvl>
      <w:start w:val="5"/>
      <w:numFmt w:val="decimal"/>
      <w:suff w:val="tab"/>
      <w:lvlText w:val="%1."/>
      <w:rPr>
        <w:color w:val="3370ff"/>
      </w:rPr>
    </w:lvl>
  </w:abstractNum>
  <w:abstractNum w:abstractNumId="543468">
    <w:lvl>
      <w:numFmt w:val="bullet"/>
      <w:suff w:val="tab"/>
      <w:lvlText w:val="•"/>
      <w:rPr>
        <w:color w:val="3370ff"/>
      </w:rPr>
    </w:lvl>
  </w:abstractNum>
  <w:abstractNum w:abstractNumId="543469">
    <w:lvl>
      <w:numFmt w:val="bullet"/>
      <w:suff w:val="tab"/>
      <w:lvlText w:val="•"/>
      <w:rPr>
        <w:color w:val="3370ff"/>
      </w:rPr>
    </w:lvl>
  </w:abstractNum>
  <w:abstractNum w:abstractNumId="543470">
    <w:lvl>
      <w:numFmt w:val="bullet"/>
      <w:suff w:val="tab"/>
      <w:lvlText w:val="•"/>
      <w:rPr>
        <w:color w:val="3370ff"/>
      </w:rPr>
    </w:lvl>
  </w:abstractNum>
  <w:abstractNum w:abstractNumId="543471">
    <w:lvl>
      <w:numFmt w:val="bullet"/>
      <w:suff w:val="tab"/>
      <w:lvlText w:val="•"/>
      <w:rPr>
        <w:color w:val="3370ff"/>
      </w:rPr>
    </w:lvl>
  </w:abstractNum>
  <w:abstractNum w:abstractNumId="543472">
    <w:lvl>
      <w:numFmt w:val="bullet"/>
      <w:suff w:val="tab"/>
      <w:lvlText w:val="•"/>
      <w:rPr>
        <w:color w:val="3370ff"/>
      </w:rPr>
    </w:lvl>
  </w:abstractNum>
  <w:abstractNum w:abstractNumId="543473">
    <w:lvl>
      <w:numFmt w:val="bullet"/>
      <w:suff w:val="tab"/>
      <w:lvlText w:val="•"/>
      <w:rPr>
        <w:color w:val="3370ff"/>
      </w:rPr>
    </w:lvl>
  </w:abstractNum>
  <w:abstractNum w:abstractNumId="543474">
    <w:lvl>
      <w:start w:val="1"/>
      <w:numFmt w:val="decimal"/>
      <w:suff w:val="tab"/>
      <w:lvlText w:val="%1."/>
      <w:rPr>
        <w:color w:val="3370ff"/>
      </w:rPr>
    </w:lvl>
  </w:abstractNum>
  <w:abstractNum w:abstractNumId="543475">
    <w:lvl>
      <w:start w:val="2"/>
      <w:numFmt w:val="decimal"/>
      <w:suff w:val="tab"/>
      <w:lvlText w:val="%1."/>
      <w:rPr>
        <w:color w:val="3370ff"/>
      </w:rPr>
    </w:lvl>
  </w:abstractNum>
  <w:abstractNum w:abstractNumId="543476">
    <w:lvl>
      <w:start w:val="3"/>
      <w:numFmt w:val="decimal"/>
      <w:suff w:val="tab"/>
      <w:lvlText w:val="%1."/>
      <w:rPr>
        <w:color w:val="3370ff"/>
      </w:rPr>
    </w:lvl>
  </w:abstractNum>
  <w:abstractNum w:abstractNumId="543477">
    <w:lvl>
      <w:start w:val="4"/>
      <w:numFmt w:val="decimal"/>
      <w:suff w:val="tab"/>
      <w:lvlText w:val="%1."/>
      <w:rPr>
        <w:color w:val="3370ff"/>
      </w:rPr>
    </w:lvl>
  </w:abstractNum>
  <w:abstractNum w:abstractNumId="543478">
    <w:lvl>
      <w:start w:val="5"/>
      <w:numFmt w:val="decimal"/>
      <w:suff w:val="tab"/>
      <w:lvlText w:val="%1."/>
      <w:rPr>
        <w:color w:val="3370ff"/>
      </w:rPr>
    </w:lvl>
  </w:abstractNum>
  <w:abstractNum w:abstractNumId="543479">
    <w:lvl>
      <w:start w:val="6"/>
      <w:numFmt w:val="decimal"/>
      <w:suff w:val="tab"/>
      <w:lvlText w:val="%1."/>
      <w:rPr>
        <w:color w:val="3370ff"/>
      </w:rPr>
    </w:lvl>
  </w:abstractNum>
  <w:abstractNum w:abstractNumId="543480">
    <w:lvl>
      <w:start w:val="1"/>
      <w:numFmt w:val="decimal"/>
      <w:suff w:val="tab"/>
      <w:lvlText w:val="%1."/>
      <w:rPr>
        <w:color w:val="3370ff"/>
      </w:rPr>
    </w:lvl>
  </w:abstractNum>
  <w:abstractNum w:abstractNumId="543481">
    <w:lvl>
      <w:start w:val="2"/>
      <w:numFmt w:val="decimal"/>
      <w:suff w:val="tab"/>
      <w:lvlText w:val="%1."/>
      <w:rPr>
        <w:color w:val="3370ff"/>
      </w:rPr>
    </w:lvl>
  </w:abstractNum>
  <w:abstractNum w:abstractNumId="543482">
    <w:lvl>
      <w:start w:val="3"/>
      <w:numFmt w:val="decimal"/>
      <w:suff w:val="tab"/>
      <w:lvlText w:val="%1."/>
      <w:rPr>
        <w:color w:val="3370ff"/>
      </w:rPr>
    </w:lvl>
  </w:abstractNum>
  <w:abstractNum w:abstractNumId="543483">
    <w:lvl>
      <w:start w:val="1"/>
      <w:numFmt w:val="decimal"/>
      <w:suff w:val="tab"/>
      <w:lvlText w:val="%1."/>
      <w:rPr>
        <w:color w:val="3370ff"/>
      </w:rPr>
    </w:lvl>
  </w:abstractNum>
  <w:abstractNum w:abstractNumId="543484">
    <w:lvl>
      <w:start w:val="2"/>
      <w:numFmt w:val="decimal"/>
      <w:suff w:val="tab"/>
      <w:lvlText w:val="%1."/>
      <w:rPr>
        <w:color w:val="3370ff"/>
      </w:rPr>
    </w:lvl>
  </w:abstractNum>
  <w:abstractNum w:abstractNumId="543485">
    <w:lvl>
      <w:numFmt w:val="bullet"/>
      <w:suff w:val="tab"/>
      <w:lvlText w:val="￮"/>
      <w:rPr>
        <w:color w:val="3370ff"/>
      </w:rPr>
    </w:lvl>
  </w:abstractNum>
  <w:abstractNum w:abstractNumId="543486">
    <w:lvl>
      <w:numFmt w:val="bullet"/>
      <w:suff w:val="tab"/>
      <w:lvlText w:val="￮"/>
      <w:rPr>
        <w:color w:val="3370ff"/>
      </w:rPr>
    </w:lvl>
  </w:abstractNum>
  <w:abstractNum w:abstractNumId="543487">
    <w:lvl>
      <w:start w:val="3"/>
      <w:numFmt w:val="decimal"/>
      <w:suff w:val="tab"/>
      <w:lvlText w:val="%1."/>
      <w:rPr>
        <w:color w:val="3370ff"/>
      </w:rPr>
    </w:lvl>
  </w:abstractNum>
  <w:abstractNum w:abstractNumId="543488">
    <w:lvl>
      <w:start w:val="4"/>
      <w:numFmt w:val="decimal"/>
      <w:suff w:val="tab"/>
      <w:lvlText w:val="%1."/>
      <w:rPr>
        <w:color w:val="3370ff"/>
      </w:rPr>
    </w:lvl>
  </w:abstractNum>
  <w:abstractNum w:abstractNumId="543489">
    <w:lvl>
      <w:start w:val="1"/>
      <w:numFmt w:val="decimal"/>
      <w:suff w:val="tab"/>
      <w:lvlText w:val="%1."/>
      <w:rPr>
        <w:color w:val="3370ff"/>
      </w:rPr>
    </w:lvl>
  </w:abstractNum>
  <w:abstractNum w:abstractNumId="543490">
    <w:lvl>
      <w:start w:val="2"/>
      <w:numFmt w:val="decimal"/>
      <w:suff w:val="tab"/>
      <w:lvlText w:val="%1."/>
      <w:rPr>
        <w:color w:val="3370ff"/>
      </w:rPr>
    </w:lvl>
  </w:abstractNum>
  <w:abstractNum w:abstractNumId="543491">
    <w:lvl>
      <w:numFmt w:val="bullet"/>
      <w:suff w:val="tab"/>
      <w:lvlText w:val="￮"/>
      <w:rPr>
        <w:color w:val="3370ff"/>
      </w:rPr>
    </w:lvl>
  </w:abstractNum>
  <w:abstractNum w:abstractNumId="543492">
    <w:lvl>
      <w:numFmt w:val="bullet"/>
      <w:suff w:val="tab"/>
      <w:lvlText w:val="￮"/>
      <w:rPr>
        <w:color w:val="3370ff"/>
      </w:rPr>
    </w:lvl>
  </w:abstractNum>
  <w:abstractNum w:abstractNumId="543493">
    <w:lvl>
      <w:numFmt w:val="bullet"/>
      <w:suff w:val="tab"/>
      <w:lvlText w:val="￮"/>
      <w:rPr>
        <w:color w:val="3370ff"/>
      </w:rPr>
    </w:lvl>
  </w:abstractNum>
  <w:abstractNum w:abstractNumId="543494">
    <w:lvl>
      <w:start w:val="3"/>
      <w:numFmt w:val="decimal"/>
      <w:suff w:val="tab"/>
      <w:lvlText w:val="%1."/>
      <w:rPr>
        <w:color w:val="3370ff"/>
      </w:rPr>
    </w:lvl>
  </w:abstractNum>
  <w:abstractNum w:abstractNumId="543495">
    <w:lvl>
      <w:numFmt w:val="bullet"/>
      <w:suff w:val="tab"/>
      <w:lvlText w:val="￮"/>
      <w:rPr>
        <w:color w:val="3370ff"/>
      </w:rPr>
    </w:lvl>
  </w:abstractNum>
  <w:abstractNum w:abstractNumId="543496">
    <w:lvl>
      <w:numFmt w:val="bullet"/>
      <w:suff w:val="tab"/>
      <w:lvlText w:val="￮"/>
      <w:rPr>
        <w:color w:val="3370ff"/>
      </w:rPr>
    </w:lvl>
  </w:abstractNum>
  <w:abstractNum w:abstractNumId="543497">
    <w:lvl>
      <w:start w:val="4"/>
      <w:numFmt w:val="decimal"/>
      <w:suff w:val="tab"/>
      <w:lvlText w:val="%1."/>
      <w:rPr>
        <w:color w:val="3370ff"/>
      </w:rPr>
    </w:lvl>
  </w:abstractNum>
  <w:abstractNum w:abstractNumId="543498">
    <w:lvl>
      <w:numFmt w:val="bullet"/>
      <w:suff w:val="tab"/>
      <w:lvlText w:val="•"/>
      <w:rPr>
        <w:color w:val="3370ff"/>
      </w:rPr>
    </w:lvl>
  </w:abstractNum>
  <w:abstractNum w:abstractNumId="543499">
    <w:lvl>
      <w:numFmt w:val="bullet"/>
      <w:suff w:val="tab"/>
      <w:lvlText w:val="•"/>
      <w:rPr>
        <w:color w:val="3370ff"/>
      </w:rPr>
    </w:lvl>
  </w:abstractNum>
  <w:abstractNum w:abstractNumId="543500">
    <w:lvl>
      <w:numFmt w:val="bullet"/>
      <w:suff w:val="tab"/>
      <w:lvlText w:val="•"/>
      <w:rPr>
        <w:color w:val="3370ff"/>
      </w:rPr>
    </w:lvl>
  </w:abstractNum>
  <w:abstractNum w:abstractNumId="543501">
    <w:lvl>
      <w:numFmt w:val="bullet"/>
      <w:suff w:val="tab"/>
      <w:lvlText w:val="•"/>
      <w:rPr>
        <w:color w:val="3370ff"/>
      </w:rPr>
    </w:lvl>
  </w:abstractNum>
  <w:abstractNum w:abstractNumId="543502">
    <w:lvl>
      <w:numFmt w:val="bullet"/>
      <w:suff w:val="tab"/>
      <w:lvlText w:val="•"/>
      <w:rPr>
        <w:color w:val="3370ff"/>
      </w:rPr>
    </w:lvl>
  </w:abstractNum>
  <w:abstractNum w:abstractNumId="543503">
    <w:lvl>
      <w:numFmt w:val="bullet"/>
      <w:suff w:val="tab"/>
      <w:lvlText w:val="•"/>
      <w:rPr>
        <w:color w:val="3370ff"/>
      </w:rPr>
    </w:lvl>
  </w:abstractNum>
  <w:abstractNum w:abstractNumId="543504">
    <w:lvl>
      <w:start w:val="1"/>
      <w:numFmt w:val="decimal"/>
      <w:suff w:val="tab"/>
      <w:lvlText w:val="%1."/>
      <w:rPr>
        <w:color w:val="3370ff"/>
      </w:rPr>
    </w:lvl>
  </w:abstractNum>
  <w:abstractNum w:abstractNumId="543505">
    <w:lvl>
      <w:start w:val="2"/>
      <w:numFmt w:val="decimal"/>
      <w:suff w:val="tab"/>
      <w:lvlText w:val="%1."/>
      <w:rPr>
        <w:color w:val="3370ff"/>
      </w:rPr>
    </w:lvl>
  </w:abstractNum>
  <w:abstractNum w:abstractNumId="543506">
    <w:lvl>
      <w:numFmt w:val="bullet"/>
      <w:suff w:val="tab"/>
      <w:lvlText w:val="￮"/>
      <w:rPr>
        <w:color w:val="3370ff"/>
      </w:rPr>
    </w:lvl>
  </w:abstractNum>
  <w:abstractNum w:abstractNumId="543507">
    <w:lvl>
      <w:numFmt w:val="bullet"/>
      <w:suff w:val="tab"/>
      <w:lvlText w:val="￮"/>
      <w:rPr>
        <w:color w:val="3370ff"/>
      </w:rPr>
    </w:lvl>
  </w:abstractNum>
  <w:abstractNum w:abstractNumId="543508">
    <w:lvl>
      <w:numFmt w:val="bullet"/>
      <w:suff w:val="tab"/>
      <w:lvlText w:val="￮"/>
      <w:rPr>
        <w:color w:val="3370ff"/>
      </w:rPr>
    </w:lvl>
  </w:abstractNum>
  <w:abstractNum w:abstractNumId="543509">
    <w:lvl>
      <w:start w:val="3"/>
      <w:numFmt w:val="decimal"/>
      <w:suff w:val="tab"/>
      <w:lvlText w:val="%1."/>
      <w:rPr>
        <w:color w:val="3370ff"/>
      </w:rPr>
    </w:lvl>
  </w:abstractNum>
  <w:abstractNum w:abstractNumId="543510">
    <w:lvl>
      <w:start w:val="4"/>
      <w:numFmt w:val="decimal"/>
      <w:suff w:val="tab"/>
      <w:lvlText w:val="%1."/>
      <w:rPr>
        <w:color w:val="3370ff"/>
      </w:rPr>
    </w:lvl>
  </w:abstractNum>
  <w:abstractNum w:abstractNumId="543511">
    <w:lvl>
      <w:start w:val="1"/>
      <w:numFmt w:val="decimal"/>
      <w:suff w:val="tab"/>
      <w:lvlText w:val="%1."/>
      <w:rPr>
        <w:color w:val="3370ff"/>
      </w:rPr>
    </w:lvl>
  </w:abstractNum>
  <w:abstractNum w:abstractNumId="543512">
    <w:lvl>
      <w:start w:val="2"/>
      <w:numFmt w:val="decimal"/>
      <w:suff w:val="tab"/>
      <w:lvlText w:val="%1."/>
      <w:rPr>
        <w:color w:val="3370ff"/>
      </w:rPr>
    </w:lvl>
  </w:abstractNum>
  <w:abstractNum w:abstractNumId="543513">
    <w:lvl>
      <w:start w:val="3"/>
      <w:numFmt w:val="decimal"/>
      <w:suff w:val="tab"/>
      <w:lvlText w:val="%1."/>
      <w:rPr>
        <w:color w:val="3370ff"/>
      </w:rPr>
    </w:lvl>
  </w:abstractNum>
  <w:abstractNum w:abstractNumId="543514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543441"/>
  </w:num>
  <w:num w:numId="2">
    <w:abstractNumId w:val="543442"/>
  </w:num>
  <w:num w:numId="3">
    <w:abstractNumId w:val="543443"/>
  </w:num>
  <w:num w:numId="4">
    <w:abstractNumId w:val="543444"/>
  </w:num>
  <w:num w:numId="5">
    <w:abstractNumId w:val="543445"/>
  </w:num>
  <w:num w:numId="6">
    <w:abstractNumId w:val="543446"/>
  </w:num>
  <w:num w:numId="7">
    <w:abstractNumId w:val="543447"/>
  </w:num>
  <w:num w:numId="8">
    <w:abstractNumId w:val="543448"/>
  </w:num>
  <w:num w:numId="9">
    <w:abstractNumId w:val="543449"/>
  </w:num>
  <w:num w:numId="10">
    <w:abstractNumId w:val="543450"/>
  </w:num>
  <w:num w:numId="11">
    <w:abstractNumId w:val="543451"/>
  </w:num>
  <w:num w:numId="12">
    <w:abstractNumId w:val="543452"/>
  </w:num>
  <w:num w:numId="13">
    <w:abstractNumId w:val="543453"/>
  </w:num>
  <w:num w:numId="14">
    <w:abstractNumId w:val="543454"/>
  </w:num>
  <w:num w:numId="15">
    <w:abstractNumId w:val="543455"/>
  </w:num>
  <w:num w:numId="16">
    <w:abstractNumId w:val="543456"/>
  </w:num>
  <w:num w:numId="17">
    <w:abstractNumId w:val="543457"/>
  </w:num>
  <w:num w:numId="18">
    <w:abstractNumId w:val="543458"/>
  </w:num>
  <w:num w:numId="19">
    <w:abstractNumId w:val="543459"/>
  </w:num>
  <w:num w:numId="20">
    <w:abstractNumId w:val="543460"/>
  </w:num>
  <w:num w:numId="21">
    <w:abstractNumId w:val="543461"/>
  </w:num>
  <w:num w:numId="22">
    <w:abstractNumId w:val="543462"/>
  </w:num>
  <w:num w:numId="23">
    <w:abstractNumId w:val="543463"/>
  </w:num>
  <w:num w:numId="24">
    <w:abstractNumId w:val="543464"/>
  </w:num>
  <w:num w:numId="25">
    <w:abstractNumId w:val="543465"/>
  </w:num>
  <w:num w:numId="26">
    <w:abstractNumId w:val="543466"/>
  </w:num>
  <w:num w:numId="27">
    <w:abstractNumId w:val="543467"/>
  </w:num>
  <w:num w:numId="28">
    <w:abstractNumId w:val="543468"/>
  </w:num>
  <w:num w:numId="29">
    <w:abstractNumId w:val="543469"/>
  </w:num>
  <w:num w:numId="30">
    <w:abstractNumId w:val="543470"/>
  </w:num>
  <w:num w:numId="31">
    <w:abstractNumId w:val="543471"/>
  </w:num>
  <w:num w:numId="32">
    <w:abstractNumId w:val="543472"/>
  </w:num>
  <w:num w:numId="33">
    <w:abstractNumId w:val="543473"/>
  </w:num>
  <w:num w:numId="34">
    <w:abstractNumId w:val="543474"/>
  </w:num>
  <w:num w:numId="35">
    <w:abstractNumId w:val="543475"/>
  </w:num>
  <w:num w:numId="36">
    <w:abstractNumId w:val="543476"/>
  </w:num>
  <w:num w:numId="37">
    <w:abstractNumId w:val="543477"/>
  </w:num>
  <w:num w:numId="38">
    <w:abstractNumId w:val="543478"/>
  </w:num>
  <w:num w:numId="39">
    <w:abstractNumId w:val="543479"/>
  </w:num>
  <w:num w:numId="40">
    <w:abstractNumId w:val="543480"/>
  </w:num>
  <w:num w:numId="41">
    <w:abstractNumId w:val="543481"/>
  </w:num>
  <w:num w:numId="42">
    <w:abstractNumId w:val="543482"/>
  </w:num>
  <w:num w:numId="43">
    <w:abstractNumId w:val="543483"/>
  </w:num>
  <w:num w:numId="44">
    <w:abstractNumId w:val="543484"/>
  </w:num>
  <w:num w:numId="45">
    <w:abstractNumId w:val="543485"/>
  </w:num>
  <w:num w:numId="46">
    <w:abstractNumId w:val="543486"/>
  </w:num>
  <w:num w:numId="47">
    <w:abstractNumId w:val="543487"/>
  </w:num>
  <w:num w:numId="48">
    <w:abstractNumId w:val="543488"/>
  </w:num>
  <w:num w:numId="49">
    <w:abstractNumId w:val="543489"/>
  </w:num>
  <w:num w:numId="50">
    <w:abstractNumId w:val="543490"/>
  </w:num>
  <w:num w:numId="51">
    <w:abstractNumId w:val="543491"/>
  </w:num>
  <w:num w:numId="52">
    <w:abstractNumId w:val="543492"/>
  </w:num>
  <w:num w:numId="53">
    <w:abstractNumId w:val="543493"/>
  </w:num>
  <w:num w:numId="54">
    <w:abstractNumId w:val="543494"/>
  </w:num>
  <w:num w:numId="55">
    <w:abstractNumId w:val="543495"/>
  </w:num>
  <w:num w:numId="56">
    <w:abstractNumId w:val="543496"/>
  </w:num>
  <w:num w:numId="57">
    <w:abstractNumId w:val="543497"/>
  </w:num>
  <w:num w:numId="58">
    <w:abstractNumId w:val="543498"/>
  </w:num>
  <w:num w:numId="59">
    <w:abstractNumId w:val="543499"/>
  </w:num>
  <w:num w:numId="60">
    <w:abstractNumId w:val="543500"/>
  </w:num>
  <w:num w:numId="61">
    <w:abstractNumId w:val="543501"/>
  </w:num>
  <w:num w:numId="62">
    <w:abstractNumId w:val="543502"/>
  </w:num>
  <w:num w:numId="63">
    <w:abstractNumId w:val="543503"/>
  </w:num>
  <w:num w:numId="64">
    <w:abstractNumId w:val="543504"/>
  </w:num>
  <w:num w:numId="65">
    <w:abstractNumId w:val="543505"/>
  </w:num>
  <w:num w:numId="66">
    <w:abstractNumId w:val="543506"/>
  </w:num>
  <w:num w:numId="67">
    <w:abstractNumId w:val="543507"/>
  </w:num>
  <w:num w:numId="68">
    <w:abstractNumId w:val="543508"/>
  </w:num>
  <w:num w:numId="69">
    <w:abstractNumId w:val="543509"/>
  </w:num>
  <w:num w:numId="70">
    <w:abstractNumId w:val="543510"/>
  </w:num>
  <w:num w:numId="71">
    <w:abstractNumId w:val="543511"/>
  </w:num>
  <w:num w:numId="72">
    <w:abstractNumId w:val="543512"/>
  </w:num>
  <w:num w:numId="73">
    <w:abstractNumId w:val="543513"/>
  </w:num>
  <w:num w:numId="74">
    <w:abstractNumId w:val="5435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media/image5.png" Type="http://schemas.openxmlformats.org/officeDocument/2006/relationships/image"/><Relationship Id="rId12" Target="media/image6.png" Type="http://schemas.openxmlformats.org/officeDocument/2006/relationships/image"/><Relationship Id="rId13" Target="media/image7.png" Type="http://schemas.openxmlformats.org/officeDocument/2006/relationships/image"/><Relationship Id="rId14" Target="media/image8.png" Type="http://schemas.openxmlformats.org/officeDocument/2006/relationships/image"/><Relationship Id="rId15" Target="embeddings/Microsoft_Excel_Worksheet3.xlsx" Type="http://schemas.openxmlformats.org/officeDocument/2006/relationships/pack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embeddings/Microsoft_Excel_Worksheet4.xlsx" Type="http://schemas.openxmlformats.org/officeDocument/2006/relationships/package"/><Relationship Id="rId19" Target="media/image11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5.xlsx" Type="http://schemas.openxmlformats.org/officeDocument/2006/relationships/package"/><Relationship Id="rId21" Target="media/image12.png" Type="http://schemas.openxmlformats.org/officeDocument/2006/relationships/image"/><Relationship Id="rId22" Target="embeddings/Microsoft_Excel_Worksheet6.xlsx" Type="http://schemas.openxmlformats.org/officeDocument/2006/relationships/package"/><Relationship Id="rId23" Target="media/image13.png" Type="http://schemas.openxmlformats.org/officeDocument/2006/relationships/image"/><Relationship Id="rId24" Target="embeddings/Microsoft_Excel_Worksheet7.xlsx" Type="http://schemas.openxmlformats.org/officeDocument/2006/relationships/package"/><Relationship Id="rId25" Target="media/image14.png" Type="http://schemas.openxmlformats.org/officeDocument/2006/relationships/image"/><Relationship Id="rId26" Target="embeddings/Microsoft_Excel_Worksheet8.xlsx" Type="http://schemas.openxmlformats.org/officeDocument/2006/relationships/package"/><Relationship Id="rId27" Target="media/image15.png" Type="http://schemas.openxmlformats.org/officeDocument/2006/relationships/image"/><Relationship Id="rId28" Target="embeddings/Microsoft_Excel_Worksheet9.xlsx" Type="http://schemas.openxmlformats.org/officeDocument/2006/relationships/package"/><Relationship Id="rId29" Target="media/image16.png" Type="http://schemas.openxmlformats.org/officeDocument/2006/relationships/image"/><Relationship Id="rId3" Target="footer1.xml" Type="http://schemas.openxmlformats.org/officeDocument/2006/relationships/footer"/><Relationship Id="rId30" Target="media/image17.png" Type="http://schemas.openxmlformats.org/officeDocument/2006/relationships/image"/><Relationship Id="rId31" Target="media/image18.png" Type="http://schemas.openxmlformats.org/officeDocument/2006/relationships/image"/><Relationship Id="rId32" Target="embeddings/Microsoft_Excel_Worksheet10.xlsx" Type="http://schemas.openxmlformats.org/officeDocument/2006/relationships/package"/><Relationship Id="rId33" Target="media/image19.png" Type="http://schemas.openxmlformats.org/officeDocument/2006/relationships/image"/><Relationship Id="rId34" Target="embeddings/Microsoft_Excel_Worksheet11.xlsx" Type="http://schemas.openxmlformats.org/officeDocument/2006/relationships/package"/><Relationship Id="rId35" Target="media/image20.png" Type="http://schemas.openxmlformats.org/officeDocument/2006/relationships/image"/><Relationship Id="rId36" Target="embeddings/Microsoft_Excel_Worksheet12.xlsx" Type="http://schemas.openxmlformats.org/officeDocument/2006/relationships/package"/><Relationship Id="rId37" Target="media/image21.png" Type="http://schemas.openxmlformats.org/officeDocument/2006/relationships/image"/><Relationship Id="rId38" Target="embeddings/Microsoft_Excel_Worksheet13.xlsx" Type="http://schemas.openxmlformats.org/officeDocument/2006/relationships/package"/><Relationship Id="rId39" Target="media/image22.png" Type="http://schemas.openxmlformats.org/officeDocument/2006/relationships/image"/><Relationship Id="rId4" Target="embeddings/Microsoft_Excel_Worksheet1.xlsx" Type="http://schemas.openxmlformats.org/officeDocument/2006/relationships/package"/><Relationship Id="rId40" Target="header1.xml" Type="http://schemas.openxmlformats.org/officeDocument/2006/relationships/header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2026-06-27T09:44:38Z</dcterms:created>
  <dc:creator>Apache POI</dc:creator>
</cp:coreProperties>
</file>