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" w:after="240"/>
        <w:jc w:val="center"/>
      </w:pPr>
      <w:r>
        <w:rPr>
          <w:b/>
          <w:bCs/>
          <w:color w:val="000000"/>
          <w:sz w:val="32"/>
          <w:szCs w:val="32"/>
        </w:rPr>
        <w:t xml:space="preserve">POLÍTICA DE GESTIÓN DE INVENTARIO</w:t>
      </w:r>
    </w:p>
    <w:p>
      <w:pPr>
        <w:pStyle w:val="Heading2"/>
      </w:pPr>
      <w:r>
        <w:t xml:space="preserve">OBJETO</w:t>
      </w:r>
    </w:p>
    <w:p>
      <w:pPr>
        <w:spacing w:after="200"/>
      </w:pPr>
      <w:r>
        <w:t xml:space="preserve">Establecer los lineamientos para el control, registro y administración del inventario de repuestos, refacciones, consumibles y activos de DC Concretos, garantizando disponibilidad, trazabilidad, uso eficiente de recursos y prevención de pérdidas mediante un sistema de autorización basado en órdenes de compra aprobadas y movimientos de activos controlados.</w:t>
      </w:r>
    </w:p>
    <w:p>
      <w:pPr>
        <w:pStyle w:val="Heading1"/>
      </w:pPr>
      <w:r>
        <w:t xml:space="preserve">1. ALCANCE</w:t>
      </w:r>
    </w:p>
    <w:p>
      <w:r>
        <w:t xml:space="preserve">Esta política aplica a: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Plantas y proyectos: </w:t>
      </w:r>
      <w:r>
        <w:t xml:space="preserve">León, Tijuana, Silao, Bajío y demás unidades activas de DC Concretos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Personal involucrado: </w:t>
      </w:r>
      <w:r>
        <w:t xml:space="preserve">Gerencia General, Jefes de Unidad de Negocio, Jefes de Planta, Encargado de Almacén, Encargado de Mantenimiento, Operadores, Auxiliar de Compras y cualquier personal que requiera inventario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Tipos de inventario:</w:t>
      </w:r>
    </w:p>
    <w:p>
      <w:pPr>
        <w:spacing left="720"/>
      </w:pPr>
      <w:r>
        <w:t xml:space="preserve">- Repuestos y refacciones</w:t>
      </w:r>
    </w:p>
    <w:p>
      <w:pPr>
        <w:spacing left="720"/>
      </w:pPr>
      <w:r>
        <w:t xml:space="preserve">- Consumibles (aceites, filtros, lubricantes, etc.)</w:t>
      </w:r>
    </w:p>
    <w:p>
      <w:pPr>
        <w:spacing left="720"/>
      </w:pPr>
      <w:r>
        <w:t xml:space="preserve">- Insumos de mantenimiento</w:t>
      </w:r>
    </w:p>
    <w:p>
      <w:pPr>
        <w:spacing left="720"/>
      </w:pPr>
      <w:r>
        <w:t xml:space="preserve">- Materiales de operación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 xml:space="preserve">Activos: </w:t>
      </w:r>
      <w:r>
        <w:t xml:space="preserve">Equipos de producción, vehículos, maquinaria pesada, movimientos de activos entre plantas, asignación de personal a activos</w:t>
      </w:r>
    </w:p>
    <w:p>
      <w:pPr>
        <w:pStyle w:val="Heading1"/>
      </w:pPr>
      <w:r>
        <w:t xml:space="preserve">2. PRINCIPIOS RECTORES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Control: </w:t>
      </w:r>
      <w:r>
        <w:t xml:space="preserve">Todo movimiento de inventario requiere orden de compra aprobada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Trazabilidad: </w:t>
      </w:r>
      <w:r>
        <w:t xml:space="preserve">Cada artículo debe estar codificado y registrado en sistema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Responsabilidad: </w:t>
      </w:r>
      <w:r>
        <w:t xml:space="preserve">Almacén es el único autorizado para entregar inventario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Transparencia: </w:t>
      </w:r>
      <w:r>
        <w:t xml:space="preserve">Todo el inventario es propiedad de la empresa y debe estar documentado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Disciplina: </w:t>
      </w:r>
      <w:r>
        <w:t xml:space="preserve">No se permite ninguna excepción a las autorizaciones requeridas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 xml:space="preserve">No reconocimiento: </w:t>
      </w:r>
      <w:r>
        <w:t xml:space="preserve">Si se consume inventario sin orden de compra aprobada, la empresa NO reconoce ese movimiento y el Encargado de Almacén deberá cubrir el costo del inventario faltante</w:t>
      </w:r>
    </w:p>
    <w:p>
      <w:r>
        <w:br w:type="page"/>
      </w:r>
    </w:p>
    <w:p>
      <w:pPr>
        <w:pStyle w:val="Heading1"/>
      </w:pPr>
      <w:r>
        <w:t xml:space="preserve">3. DISPOSICIONES GENERALES</w:t>
      </w:r>
    </w:p>
    <w:p>
      <w:pPr>
        <w:pStyle w:val="Heading2"/>
      </w:pPr>
      <w:r>
        <w:t xml:space="preserve">3.1 Estructura Organizacional</w:t>
      </w:r>
    </w:p>
    <w:p>
      <w:pPr>
        <w:pStyle w:val="Heading3"/>
      </w:pPr>
      <w:r>
        <w:t xml:space="preserve">Nuevos Roles Definidos:</w:t>
      </w:r>
    </w:p>
    <w:p>
      <w:r>
        <w:rPr>
          <w:b/>
          <w:bCs/>
        </w:rPr>
        <w:t xml:space="preserve">ENCARGADO DE ALMACÉN (Obligatorio por planta)</w:t>
      </w:r>
    </w:p>
    <w:p>
      <w:pPr>
        <w:pStyle w:val="ListParagraph"/>
        <w:numPr>
          <w:ilvl w:val="0"/>
          <w:numId w:val="2"/>
        </w:numPr>
      </w:pPr>
      <w:r>
        <w:t xml:space="preserve">Responsable único de custodia física del inventario</w:t>
      </w:r>
    </w:p>
    <w:p>
      <w:pPr>
        <w:pStyle w:val="ListParagraph"/>
        <w:numPr>
          <w:ilvl w:val="0"/>
          <w:numId w:val="2"/>
        </w:numPr>
      </w:pPr>
      <w:r>
        <w:t xml:space="preserve">Autorizado para entregar materiales únicamente con orden de compra aprobada</w:t>
      </w:r>
    </w:p>
    <w:p>
      <w:pPr>
        <w:pStyle w:val="ListParagraph"/>
        <w:numPr>
          <w:ilvl w:val="0"/>
          <w:numId w:val="2"/>
        </w:numPr>
      </w:pPr>
      <w:r>
        <w:t xml:space="preserve">Responsable de conteos cíclicos y reporte de diferencias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Responsable financiero de cualquier faltante por movimiento sin orden de compra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Reporta a: Jefe de Unidad de Negocio</w:t>
      </w:r>
    </w:p>
    <w:p>
      <w:pPr>
        <w:pStyle w:val="Heading3"/>
      </w:pPr>
      <w:r>
        <w:t xml:space="preserve">Roles existentes con responsabilidades de inventario: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Gerente General: </w:t>
      </w:r>
      <w:r>
        <w:t xml:space="preserve">Autoriza compras &gt;$5,000 MXN, recibe notificación informativa de todos los movimientos de activos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Jefe de Unidad de Negocio: </w:t>
      </w:r>
      <w:r>
        <w:t xml:space="preserve">Autoriza compras $1,000-$5,000 MXN, supervisa almacén, responsable de registrar asignación de personal a activos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Jefe de Planta: </w:t>
      </w:r>
      <w:r>
        <w:t xml:space="preserve">Solicita materiales mediante orden de compra, responsable de registrar asignación de personal a activos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Encargado de Mantenimiento: </w:t>
      </w:r>
      <w:r>
        <w:t xml:space="preserve">Solicita materiales mediante orden de compra, ejecuta movimientos físicos de activos entre plantas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Auxiliar de Compras: </w:t>
      </w:r>
      <w:r>
        <w:t xml:space="preserve">Procesa órdenes de compra y gestiona proveedores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 xml:space="preserve">Operadores: </w:t>
      </w:r>
      <w:r>
        <w:t xml:space="preserve">Reciben materiales autorizados</w:t>
      </w:r>
    </w:p>
    <w:p>
      <w:r>
        <w:br w:type="page"/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70AD47" w:sz="6"/>
      </w:pBdr>
      <w:spacing w:before="120"/>
      <w:jc w:val="center"/>
    </w:pPr>
    <w:r>
      <w:rPr>
        <w:sz w:val="18"/>
        <w:szCs w:val="18"/>
      </w:rPr>
      <w:t xml:space="preserve">📧 rh@dcconcretos.com.mx | 🌐 www.dcconcretos.com.mx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pct" w:w="100%"/>
      <w:tblBorders>
        <w:top w:val="none"/>
        <w:left w:val="none"/>
        <w:bottom w:val="none"/>
        <w:right w:val="none"/>
        <w:insideH w:val="single" w:color="auto" w:sz="4"/>
        <w:insideV w:val="single" w:color="auto" w:sz="4"/>
      </w:tblBorders>
    </w:tblPr>
    <w:tblGrid>
      <w:gridCol w:w="3000"/>
      <w:gridCol w:w="6360"/>
    </w:tblGrid>
    <w:tr>
      <w:tc>
        <w:tcPr>
          <w:tcW w:type="dxa" w:w="3000"/>
          <w:tcBorders>
            <w:top w:val="none"/>
            <w:left w:val="none"/>
            <w:bottom w:val="none"/>
            <w:right w:val="none"/>
          </w:tcBorders>
        </w:tcPr>
        <w:p>
          <w:r>
            <w:rPr>
              <w:b/>
              <w:bCs/>
              <w:sz w:val="20"/>
              <w:szCs w:val="20"/>
            </w:rPr>
            <w:t xml:space="preserve">DC CONCRETOS</w:t>
          </w:r>
        </w:p>
      </w:tc>
      <w:tc>
        <w:tcPr>
          <w:tcW w:type="dxa" w:w="6360"/>
          <w:tcBorders>
            <w:top w:val="none"/>
            <w:left w:val="none"/>
            <w:bottom w:val="none"/>
            <w:right w:val="none"/>
          </w:tcBorders>
        </w:tcPr>
        <w:p>
          <w:pPr>
            <w:jc w:val="right"/>
          </w:pPr>
          <w:r>
            <w:rPr>
              <w:sz w:val="18"/>
              <w:szCs w:val="18"/>
            </w:rPr>
            <w:t xml:space="preserve">Código: </w:t>
          </w:r>
          <w:r>
            <w:rPr>
              <w:b/>
              <w:bCs/>
              <w:sz w:val="18"/>
              <w:szCs w:val="18"/>
            </w:rPr>
            <w:t xml:space="preserve">POL-OPE-002</w:t>
          </w:r>
          <w:r>
            <w:rPr>
              <w:sz w:val="18"/>
              <w:szCs w:val="18"/>
            </w:rPr>
            <w:t xml:space="preserve"> | Versión: </w:t>
          </w:r>
          <w:r>
            <w:rPr>
              <w:b/>
              <w:bCs/>
              <w:sz w:val="18"/>
              <w:szCs w:val="18"/>
            </w:rPr>
            <w:t xml:space="preserve">1.0</w:t>
          </w:r>
        </w:p>
        <w:p>
          <w:pPr>
            <w:jc w:val="right"/>
          </w:pPr>
          <w:r>
            <w:rPr>
              <w:sz w:val="18"/>
              <w:szCs w:val="18"/>
            </w:rPr>
            <w:t xml:space="preserve">Fecha de emisión: Febrero 2026</w:t>
          </w:r>
        </w:p>
        <w:p>
          <w:pPr>
            <w:jc w:val="right"/>
          </w:pPr>
          <w:r>
            <w:rPr>
              <w:sz w:val="18"/>
              <w:szCs w:val="18"/>
            </w:rPr>
            <w:t xml:space="preserve">Aprobado por: Gerencia General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120"/>
      <w:outlineLvl w:val="0"/>
    </w:pPr>
    <w:rPr>
      <w:rFonts w:ascii="Calibri" w:cs="Calibri" w:eastAsia="Calibri" w:hAnsi="Calibr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180" w:after="100"/>
      <w:outlineLvl w:val="1"/>
    </w:pPr>
    <w:rPr>
      <w:rFonts w:ascii="Calibri" w:cs="Calibri" w:eastAsia="Calibri" w:hAnsi="Calibri"/>
      <w:b/>
      <w:bCs/>
      <w:color w:val="000000"/>
      <w:sz w:val="24"/>
      <w:szCs w:val="24"/>
    </w:rPr>
  </w:style>
  <w:style w:type="paragraph" w:styleId="Heading3">
    <w:name w:val="Heading 3"/>
    <w:basedOn w:val="Normal"/>
    <w:next w:val="Normal"/>
    <w:qFormat/>
    <w:pPr>
      <w:spacing w:before="120" w:after="80"/>
      <w:outlineLvl w:val="2"/>
    </w:pPr>
    <w:rPr>
      <w:rFonts w:ascii="Calibri" w:cs="Calibri" w:eastAsia="Calibri" w:hAnsi="Calibri"/>
      <w:b/>
      <w:bCs/>
      <w:color w:val="00000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2026-02-14T19:05:39.591Z</dcterms:created>
  <dcterms:modified xsi:type="dcterms:W3CDTF">2026-02-14T19:05:39.591Z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