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 w:after="1000"/>
        <w:jc w:val="center"/>
      </w:pPr>
      <w:r>
        <w:rPr>
          <w:b/>
          <w:bCs/>
          <w:color w:val="DC2626"/>
          <w:sz w:val="48"/>
          <w:szCs w:val="48"/>
        </w:rPr>
        <w:t xml:space="preserve">NOTAS EXPLICATIVAS</w:t>
      </w:r>
    </w:p>
    <w:p>
      <w:pPr>
        <w:spacing w:after="600"/>
        <w:jc w:val="center"/>
      </w:pPr>
      <w:r>
        <w:rPr>
          <w:b/>
          <w:bCs/>
          <w:sz w:val="36"/>
          <w:szCs w:val="36"/>
        </w:rPr>
        <w:t xml:space="preserve">Ajustes al Análisis de Mantenimiento</w:t>
      </w:r>
    </w:p>
    <w:p>
      <w:pPr>
        <w:spacing w:after="2000"/>
        <w:jc w:val="center"/>
      </w:pPr>
      <w:r>
        <w:rPr>
          <w:color w:val="DC2626"/>
          <w:sz w:val="32"/>
          <w:szCs w:val="32"/>
        </w:rPr>
        <w:t xml:space="preserve">Q4 2025</w:t>
      </w:r>
    </w:p>
    <w:p>
      <w:pPr>
        <w:spacing w:before="2000"/>
        <w:jc w:val="center"/>
      </w:pPr>
      <w:r>
        <w:rPr>
          <w:sz w:val="28"/>
          <w:szCs w:val="28"/>
        </w:rPr>
        <w:t xml:space="preserve">DC Concretos</w:t>
      </w:r>
    </w:p>
    <w:p>
      <w:pPr>
        <w:spacing w:before="1000" w:after="400"/>
        <w:jc w:val="center"/>
      </w:pPr>
      <w:r>
        <w:rPr>
          <w:color w:val="999999"/>
          <w:sz w:val="24"/>
          <w:szCs w:val="24"/>
        </w:rPr>
        <w:t xml:space="preserve">━━━━━━━━━━━━━━━━━━━━━━━━</w:t>
      </w:r>
    </w:p>
    <w:p>
      <w:pPr>
        <w:pStyle w:val="Heading1"/>
      </w:pPr>
      <w:r>
        <w:t xml:space="preserve">Resumen de Ajustes Aplicados</w:t>
      </w:r>
    </w:p>
    <w:p>
      <w:pPr>
        <w:spacing w:after="200"/>
      </w:pPr>
      <w:r>
        <w:rPr>
          <w:sz w:val="22"/>
          <w:szCs w:val="22"/>
        </w:rPr>
        <w:t xml:space="preserve">Este documento detalla los ajustes realizados al análisis de mantenimiento del Q4 2025 para asegurar la precisión de los datos y reflejar correctamente las operaciones del periodo.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Concepto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Detalle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Gasto Total Original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$858,676.85 MXN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Ajustes Aplicados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-$78,612.00 MXN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Gasto Total Corregido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$780,064.85 MXN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Equipos Afectados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equipos excluidos/ajustados</w:t>
            </w:r>
          </w:p>
        </w:tc>
      </w:tr>
    </w:tbl>
    <w:p>
      <w:pPr>
        <w:pStyle w:val="Heading1"/>
        <w:spacing w:before="600"/>
      </w:pPr>
      <w:r>
        <w:t xml:space="preserve">Detalle de Ajustes</w:t>
      </w:r>
    </w:p>
    <w:p>
      <w:pPr>
        <w:pStyle w:val="Heading2"/>
      </w:pPr>
      <w:r>
        <w:t xml:space="preserve">1. Exclusión de Planta 4P (Pitahaya)</w:t>
      </w:r>
    </w:p>
    <w:p>
      <w:pPr>
        <w:spacing w:after="120"/>
      </w:pPr>
      <w:r>
        <w:rPr>
          <w:b/>
          <w:bCs/>
        </w:rPr>
        <w:t xml:space="preserve">Razón: </w:t>
      </w:r>
      <w:r>
        <w:t xml:space="preserve">La Planta 4P (Pitahaya) no comenzó operaciones hasta 2026, por lo que no debe incluirse en el análisis de Q4 2025.</w:t>
      </w:r>
    </w:p>
    <w:p>
      <w:pPr>
        <w:spacing w:after="120"/>
      </w:pPr>
      <w:r>
        <w:rPr>
          <w:b/>
          <w:bCs/>
        </w:rPr>
        <w:t xml:space="preserve">Equipos Excluidos: </w:t>
      </w:r>
      <w:r>
        <w:t xml:space="preserve">CR-24 y CR-25 (2 Ollas Revolvedoras)</w:t>
      </w:r>
    </w:p>
    <w:p>
      <w:pPr>
        <w:spacing w:after="120"/>
      </w:pPr>
      <w:r>
        <w:rPr>
          <w:b/>
          <w:bCs/>
        </w:rPr>
        <w:t xml:space="preserve">Impacto: </w:t>
      </w:r>
      <w:r>
        <w:t xml:space="preserve">Los gastos de estos equipos ($6,499.99) fueron eliminados del análisis, así como su producción reportada.</w:t>
      </w:r>
    </w:p>
    <w:p>
      <w:pPr>
        <w:pStyle w:val="Heading2"/>
        <w:spacing w:before="400"/>
      </w:pPr>
      <w:r>
        <w:t xml:space="preserve">2. Orden de Compra PO-328468-KL9 (Planta 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Orden de Compra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PO-328468-KL9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$40,368.00 MXN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PLANTA 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Clasificación Original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Mantenimiento Correctivo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Razón del Ajuste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Compra de inventario clasificada incorrectamente como mantenimiento correctivo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Acción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Monto excluido del gasto correctivo de Planta 2</w:t>
            </w:r>
          </w:p>
        </w:tc>
      </w:tr>
    </w:tbl>
    <w:p>
      <w:pPr>
        <w:pStyle w:val="Heading2"/>
        <w:spacing w:before="400"/>
      </w:pPr>
      <w:r>
        <w:t xml:space="preserve">3. Orden de Compra PO-891870-8IL (Planta 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Orden de Compra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PO-891870-8IL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$38,244.00 MXN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PLANTA 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Clasificación Original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Mantenimiento Correctivo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Razón del Ajuste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Compra de inventario clasificada incorrectamente como mantenimiento correctivo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Acción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Monto excluido del gasto correctivo de Planta 3</w:t>
            </w:r>
          </w:p>
        </w:tc>
      </w:tr>
    </w:tbl>
    <w:p>
      <w:pPr>
        <w:pStyle w:val="Heading1"/>
        <w:spacing w:before="600"/>
      </w:pPr>
      <w:r>
        <w:t xml:space="preserve">Impacto en Métricas Clave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Métrica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Antes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Después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Gasto 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$858,676.85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$772,314.86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Ratio C/P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1.40:1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1.18:1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Equipos Analizados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18,825.55 m³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18,183.05 m³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Costo/m³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$45.61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$42.47</w:t>
            </w:r>
          </w:p>
        </w:tc>
      </w:tr>
    </w:tbl>
    <w:p>
      <w:pPr>
        <w:pStyle w:val="Heading1"/>
        <w:spacing w:before="600"/>
      </w:pPr>
      <w:r>
        <w:t xml:space="preserve">Conclusiones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Los ajustes mejoran la precisión del análisis al excluir operaciones que no corresponden al periodo (Planta 4P).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La exclusión de compras de inventario clasificadas como correctivo reduce artificialmente el gasto correctivo, mejorando el ratio C/P de 1.40:1 a 1.18:1.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Las métricas corregidas reflejan más fielmente el desempeño real de mantenimiento del Q4 2025.</w:t>
      </w:r>
    </w:p>
    <w:p>
      <w:pPr>
        <w:spacing w:after="120"/>
      </w:pPr>
      <w:r>
        <w:rPr>
          <w:b/>
          <w:bCs/>
        </w:rPr>
        <w:t xml:space="preserve">4. </w:t>
      </w:r>
      <w:r>
        <w:t xml:space="preserve">Se recomienda revisar la clasificación de órdenes de compra de inventario para evitar distorsiones futuras en los análisis.</w:t>
      </w:r>
    </w:p>
    <w:p>
      <w:pPr>
        <w:spacing w:before="800"/>
        <w:jc w:val="center"/>
      </w:pPr>
      <w:r>
        <w:rPr>
          <w:color w:val="999999"/>
          <w:sz w:val="24"/>
          <w:szCs w:val="24"/>
        </w:rPr>
        <w:t xml:space="preserve">━━━━━━━━━━━━━━━━━━━━━━━━</w:t>
      </w:r>
    </w:p>
    <w:p>
      <w:pPr>
        <w:spacing w:before="200"/>
        <w:jc w:val="center"/>
      </w:pPr>
      <w:r>
        <w:rPr>
          <w:i/>
          <w:iCs/>
          <w:color w:val="666666"/>
          <w:sz w:val="18"/>
          <w:szCs w:val="18"/>
        </w:rPr>
        <w:t xml:space="preserve">Documento Confidencial - Uso Interno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DC262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DC262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2026-02-11T19:15:39.193Z</dcterms:created>
  <dcterms:modified xsi:type="dcterms:W3CDTF">2026-02-11T19:15:39.193Z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