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RFCTitle"/>
        <w:rPr/>
      </w:pPr>
      <w:r>
        <w:rPr>
          <w:highlight w:val="yellow"/>
        </w:rPr>
        <w:br/>
      </w:r>
      <w:r>
        <w:rPr>
          <w:color w:val="000000"/>
        </w:rPr>
        <w:t>User Agent Connection Security</w:t>
      </w:r>
      <w:r>
        <w:rPr/>
        <w:br/>
      </w:r>
      <w:r>
        <w:rPr>
          <w:shd w:fill="auto" w:val="clear"/>
        </w:rPr>
        <w:t>draft-ietf-ua-conn-sec-00.txt</w:t>
      </w:r>
    </w:p>
    <w:p>
      <w:pPr>
        <w:pStyle w:val="Normal"/>
        <w:ind w:left="0" w:hanging="0"/>
        <w:rPr>
          <w:b/>
          <w:b/>
          <w:bCs/>
        </w:rPr>
      </w:pPr>
      <w:r>
        <w:rPr>
          <w:b/>
          <w:bCs/>
        </w:rPr>
        <w:t>Abstract</w:t>
      </w:r>
    </w:p>
    <w:p>
      <w:pPr>
        <w:pStyle w:val="Normal"/>
        <w:rPr/>
      </w:pPr>
      <w:r>
        <w:rPr/>
        <w:t>The user agent to server transaction has many attack surfaces which have been defended by various recommendations such as Content Security Policy. An attack vector that is currently exploited is the open connection policy to first, second- and third-party resources.</w:t>
      </w:r>
    </w:p>
    <w:p>
      <w:pPr>
        <w:pStyle w:val="Normal"/>
        <w:rPr/>
      </w:pPr>
      <w:r>
        <w:rPr/>
        <w:t xml:space="preserve">A breach of the </w:t>
      </w:r>
      <w:bookmarkStart w:id="0" w:name="_Int_jGAJlpwb"/>
      <w:r>
        <w:rPr/>
        <w:t>origin</w:t>
      </w:r>
      <w:bookmarkEnd w:id="0"/>
      <w:r>
        <w:rPr/>
        <w:t xml:space="preserve"> website or other connected resource could require the client to load resources from a malicious network. This document provides a framework which allows authors to publish authorized connectable second- and third-party resources that a user agent should or must follow depending on configuration of that user agent.</w:t>
      </w:r>
    </w:p>
    <w:p>
      <w:pPr>
        <w:pStyle w:val="Normal"/>
        <w:rPr>
          <w:highlight w:val="yellow"/>
        </w:rPr>
      </w:pPr>
      <w:r>
        <w:rPr>
          <w:highlight w:val="yellow"/>
        </w:rPr>
      </w:r>
    </w:p>
    <w:p>
      <w:pPr>
        <w:pStyle w:val="RFCH1noTOCnonum"/>
        <w:rPr>
          <w:b/>
          <w:b/>
          <w:bCs w:val="false"/>
        </w:rPr>
      </w:pPr>
      <w:r>
        <w:rPr>
          <w:b/>
          <w:bCs w:val="false"/>
        </w:rPr>
        <w:t>Status of this Memo</w:t>
      </w:r>
    </w:p>
    <w:p>
      <w:pPr>
        <w:pStyle w:val="Normal"/>
        <w:rPr/>
      </w:pPr>
      <w:r>
        <w:rPr/>
        <w:t>Internet-Drafts are working documents of the Internet Engineering Task Force (IETF), its areas, and its working groups.  Note that other groups may also distribute working documents as Internet-Drafts.</w:t>
      </w:r>
    </w:p>
    <w:p>
      <w:pPr>
        <w:pStyle w:val="Normal"/>
        <w:rPr/>
      </w:pPr>
      <w:r>
        <w:rPr/>
        <w:t>Internet-Drafts are draft documents valid for a maximum of six months and may be updated, replaced, or obsoleted by other documents at any time.  It is inappropriate to use Internet-Drafts as reference material or to cite them other than as "work in progress."</w:t>
      </w:r>
    </w:p>
    <w:p>
      <w:pPr>
        <w:pStyle w:val="Normal"/>
        <w:rPr/>
      </w:pPr>
      <w:r>
        <w:rPr/>
        <w:t>The list of current Internet-Drafts can be accessed at http://www.ietf.org/ietf/1id-abstracts.txt</w:t>
      </w:r>
    </w:p>
    <w:p>
      <w:pPr>
        <w:pStyle w:val="Normal"/>
        <w:rPr/>
      </w:pPr>
      <w:r>
        <w:rPr/>
        <w:t>The list of Internet-Draft Shadow Directories can be accessed at http://www.ietf.org/shadow.html</w:t>
      </w:r>
    </w:p>
    <w:p>
      <w:pPr>
        <w:pStyle w:val="Normal"/>
        <w:rPr/>
      </w:pPr>
      <w:r>
        <w:rPr/>
        <w:t xml:space="preserve">This Internet-Draft will expire on </w:t>
      </w:r>
      <w:r>
        <w:rPr>
          <w:lang w:eastAsia="en-US"/>
        </w:rPr>
        <w:t>September</w:t>
      </w:r>
      <w:r>
        <w:rPr/>
        <w:t xml:space="preserve"> 13 </w:t>
      </w:r>
      <w:r>
        <w:rPr>
          <w:lang w:eastAsia="en-US"/>
        </w:rPr>
        <w:t>2023</w:t>
      </w:r>
      <w:r>
        <w:rPr/>
        <w:t>.</w:t>
      </w:r>
    </w:p>
    <w:p>
      <w:pPr>
        <w:pStyle w:val="RFCH1noTOCnonum"/>
        <w:rPr/>
      </w:pPr>
      <w:r>
        <w:rPr/>
        <w:t>Copyright Notice</w:t>
      </w:r>
    </w:p>
    <w:p>
      <w:pPr>
        <w:pStyle w:val="Normal"/>
        <w:rPr>
          <w:highlight w:val="green"/>
        </w:rPr>
      </w:pPr>
      <w:r>
        <w:rPr/>
        <w:t>This document is subject to BCP 78 and the IETF Trust’s Legal Provisions Relating to IETF Documents (http://trustee.ietf.org/license-info) in effect on the date of publication of this document. Please review these documents carefully, as they describe your rights and restrictions with respect to this document.</w:t>
      </w:r>
      <w:r>
        <w:rPr>
          <w:highlight w:val="green"/>
        </w:rPr>
        <w:t xml:space="preserve"> </w:t>
      </w:r>
    </w:p>
    <w:p>
      <w:pPr>
        <w:pStyle w:val="Normal"/>
        <w:ind w:left="0" w:hanging="0"/>
        <w:rPr>
          <w:highlight w:val="cyan"/>
        </w:rPr>
      </w:pPr>
      <w:r>
        <w:rPr>
          <w:highlight w:val="cyan"/>
        </w:rPr>
      </w:r>
    </w:p>
    <w:p>
      <w:pPr>
        <w:pStyle w:val="RFCH1noTOCnonum"/>
        <w:rPr>
          <w:highlight w:val="none"/>
          <w:shd w:fill="auto" w:val="clear"/>
        </w:rPr>
      </w:pPr>
      <w:r>
        <w:rPr>
          <w:shd w:fill="auto" w:val="clear"/>
        </w:rPr>
        <w:t>Table of Contents</w:t>
      </w:r>
    </w:p>
    <w:sdt>
      <w:sdtPr>
        <w:docPartObj>
          <w:docPartGallery w:val="Table of Contents"/>
          <w:docPartUnique w:val="true"/>
        </w:docPartObj>
      </w:sdtPr>
      <w:sdtContent>
        <w:p>
          <w:pPr>
            <w:pStyle w:val="ContentsHeading"/>
            <w:suppressLineNumbers/>
            <w:ind w:left="0" w:hanging="0"/>
            <w:rPr>
              <w:b/>
              <w:b/>
              <w:bCs/>
              <w:sz w:val="32"/>
              <w:szCs w:val="32"/>
            </w:rPr>
          </w:pPr>
          <w:r>
            <w:rPr>
              <w:b/>
              <w:bCs/>
              <w:sz w:val="32"/>
              <w:szCs w:val="32"/>
            </w:rPr>
          </w:r>
        </w:p>
        <w:p>
          <w:pPr>
            <w:pStyle w:val="Contents1"/>
            <w:tabs>
              <w:tab w:val="clear" w:pos="10080"/>
              <w:tab w:val="right" w:pos="10368" w:leader="dot"/>
            </w:tabs>
            <w:rPr/>
          </w:pPr>
          <w:r>
            <w:fldChar w:fldCharType="begin"/>
          </w:r>
          <w:r>
            <w:rPr>
              <w:rStyle w:val="IndexLink"/>
            </w:rPr>
            <w:instrText xml:space="preserve"> TOC \f \o "1-9" \h</w:instrText>
          </w:r>
          <w:r>
            <w:rPr>
              <w:rStyle w:val="IndexLink"/>
            </w:rPr>
            <w:fldChar w:fldCharType="separate"/>
          </w:r>
          <w:hyperlink w:anchor="__RefHeading___Toc258322660">
            <w:r>
              <w:rPr>
                <w:rStyle w:val="IndexLink"/>
              </w:rPr>
              <w:t>1  Introduction</w:t>
              <w:tab/>
              <w:t>2</w:t>
            </w:r>
          </w:hyperlink>
        </w:p>
        <w:p>
          <w:pPr>
            <w:pStyle w:val="Contents1"/>
            <w:tabs>
              <w:tab w:val="clear" w:pos="10080"/>
              <w:tab w:val="right" w:pos="10368" w:leader="dot"/>
            </w:tabs>
            <w:rPr/>
          </w:pPr>
          <w:hyperlink w:anchor="__RefHeading___Toc425_245583736">
            <w:r>
              <w:rPr>
                <w:rStyle w:val="IndexLink"/>
              </w:rPr>
              <w:t>1.1 Terminology</w:t>
              <w:tab/>
              <w:t>3</w:t>
            </w:r>
          </w:hyperlink>
        </w:p>
        <w:p>
          <w:pPr>
            <w:pStyle w:val="Contents1"/>
            <w:tabs>
              <w:tab w:val="clear" w:pos="10080"/>
              <w:tab w:val="right" w:pos="10368" w:leader="dot"/>
            </w:tabs>
            <w:rPr/>
          </w:pPr>
          <w:hyperlink w:anchor="__RefHeading___Toc427_245583736">
            <w:r>
              <w:rPr>
                <w:rStyle w:val="IndexLink"/>
              </w:rPr>
              <w:t>1.2 Applicability</w:t>
              <w:tab/>
              <w:t>3</w:t>
            </w:r>
          </w:hyperlink>
        </w:p>
        <w:p>
          <w:pPr>
            <w:pStyle w:val="Contents1"/>
            <w:tabs>
              <w:tab w:val="clear" w:pos="10080"/>
              <w:tab w:val="right" w:pos="10368" w:leader="dot"/>
            </w:tabs>
            <w:rPr/>
          </w:pPr>
          <w:hyperlink w:anchor="__RefHeading___Toc2583226761">
            <w:r>
              <w:rPr>
                <w:rStyle w:val="IndexLink"/>
              </w:rPr>
              <w:t>2  Conventions used in this document</w:t>
              <w:tab/>
              <w:t>3</w:t>
            </w:r>
          </w:hyperlink>
        </w:p>
        <w:p>
          <w:pPr>
            <w:pStyle w:val="Contents1"/>
            <w:tabs>
              <w:tab w:val="clear" w:pos="10080"/>
              <w:tab w:val="right" w:pos="10368" w:leader="dot"/>
            </w:tabs>
            <w:rPr/>
          </w:pPr>
          <w:hyperlink w:anchor="__RefHeading___Toc429_245583736">
            <w:r>
              <w:rPr>
                <w:rStyle w:val="IndexLink"/>
              </w:rPr>
              <w:t>2.1 DNS Entries published</w:t>
              <w:tab/>
              <w:t>3</w:t>
            </w:r>
          </w:hyperlink>
        </w:p>
        <w:p>
          <w:pPr>
            <w:pStyle w:val="Contents1"/>
            <w:tabs>
              <w:tab w:val="clear" w:pos="10080"/>
              <w:tab w:val="right" w:pos="10368" w:leader="dot"/>
            </w:tabs>
            <w:rPr/>
          </w:pPr>
          <w:hyperlink w:anchor="__RefHeading___Toc431_245583736">
            <w:r>
              <w:rPr>
                <w:rStyle w:val="IndexLink"/>
              </w:rPr>
              <w:t>2.1.1 Single site and domain example</w:t>
              <w:tab/>
              <w:t>3</w:t>
            </w:r>
          </w:hyperlink>
        </w:p>
        <w:p>
          <w:pPr>
            <w:pStyle w:val="Contents1"/>
            <w:tabs>
              <w:tab w:val="clear" w:pos="10080"/>
              <w:tab w:val="right" w:pos="10368" w:leader="dot"/>
            </w:tabs>
            <w:rPr/>
          </w:pPr>
          <w:hyperlink w:anchor="__RefHeading___Toc433_245583736">
            <w:r>
              <w:rPr>
                <w:rStyle w:val="IndexLink"/>
              </w:rPr>
              <w:t>2.1.2 Multiple sites and domain example</w:t>
              <w:tab/>
              <w:t>4</w:t>
            </w:r>
          </w:hyperlink>
        </w:p>
        <w:p>
          <w:pPr>
            <w:pStyle w:val="Contents1"/>
            <w:tabs>
              <w:tab w:val="clear" w:pos="10080"/>
              <w:tab w:val="right" w:pos="10368" w:leader="dot"/>
            </w:tabs>
            <w:rPr/>
          </w:pPr>
          <w:hyperlink w:anchor="__RefHeading___Toc435_245583736">
            <w:r>
              <w:rPr>
                <w:rStyle w:val="IndexLink"/>
              </w:rPr>
              <w:t>2.1.3 Wildcards</w:t>
              <w:tab/>
              <w:t>4</w:t>
            </w:r>
          </w:hyperlink>
        </w:p>
        <w:p>
          <w:pPr>
            <w:pStyle w:val="Contents1"/>
            <w:tabs>
              <w:tab w:val="clear" w:pos="10080"/>
              <w:tab w:val="right" w:pos="10368" w:leader="dot"/>
            </w:tabs>
            <w:rPr/>
          </w:pPr>
          <w:hyperlink w:anchor="__RefHeading___Toc258322676">
            <w:r>
              <w:rPr>
                <w:rStyle w:val="IndexLink"/>
              </w:rPr>
              <w:t>3  Security Considerations</w:t>
              <w:tab/>
              <w:t>5</w:t>
            </w:r>
          </w:hyperlink>
        </w:p>
        <w:p>
          <w:pPr>
            <w:pStyle w:val="Contents1"/>
            <w:tabs>
              <w:tab w:val="clear" w:pos="10080"/>
              <w:tab w:val="right" w:pos="10368" w:leader="dot"/>
            </w:tabs>
            <w:rPr/>
          </w:pPr>
          <w:hyperlink w:anchor="__RefHeading___Toc258322677">
            <w:r>
              <w:rPr>
                <w:rStyle w:val="IndexLink"/>
              </w:rPr>
              <w:t>4  IANA Considerations</w:t>
              <w:tab/>
              <w:t>6</w:t>
            </w:r>
          </w:hyperlink>
        </w:p>
        <w:p>
          <w:pPr>
            <w:pStyle w:val="Contents1"/>
            <w:tabs>
              <w:tab w:val="clear" w:pos="10080"/>
              <w:tab w:val="right" w:pos="10368" w:leader="dot"/>
            </w:tabs>
            <w:rPr/>
          </w:pPr>
          <w:hyperlink w:anchor="__RefHeading___Toc258322679">
            <w:r>
              <w:rPr>
                <w:rStyle w:val="IndexLink"/>
              </w:rPr>
              <w:t>5  References</w:t>
              <w:tab/>
              <w:t>6</w:t>
            </w:r>
          </w:hyperlink>
        </w:p>
        <w:p>
          <w:pPr>
            <w:pStyle w:val="Contents2"/>
            <w:tabs>
              <w:tab w:val="clear" w:pos="10080"/>
              <w:tab w:val="right" w:pos="10368" w:leader="dot"/>
            </w:tabs>
            <w:rPr/>
          </w:pPr>
          <w:hyperlink w:anchor="__RefHeading___Toc258322680">
            <w:r>
              <w:rPr>
                <w:rStyle w:val="IndexLink"/>
              </w:rPr>
              <w:t>5.1  Normative References</w:t>
              <w:tab/>
              <w:t>6</w:t>
            </w:r>
          </w:hyperlink>
        </w:p>
        <w:p>
          <w:pPr>
            <w:pStyle w:val="Contents2"/>
            <w:tabs>
              <w:tab w:val="clear" w:pos="10080"/>
              <w:tab w:val="right" w:pos="10368" w:leader="dot"/>
            </w:tabs>
            <w:rPr/>
          </w:pPr>
          <w:hyperlink w:anchor="__RefHeading___Toc258322681">
            <w:r>
              <w:rPr>
                <w:rStyle w:val="IndexLink"/>
              </w:rPr>
              <w:t>5.2  Informative References</w:t>
              <w:tab/>
              <w:t>7</w:t>
            </w:r>
          </w:hyperlink>
        </w:p>
        <w:p>
          <w:pPr>
            <w:pStyle w:val="Contents1"/>
            <w:tabs>
              <w:tab w:val="clear" w:pos="10080"/>
              <w:tab w:val="right" w:pos="10368" w:leader="dot"/>
            </w:tabs>
            <w:rPr/>
          </w:pPr>
          <w:hyperlink w:anchor="__RefHeading___Toc258322682">
            <w:r>
              <w:rPr>
                <w:rStyle w:val="IndexLink"/>
              </w:rPr>
              <w:t>6  Acknowledgments</w:t>
              <w:tab/>
              <w:t>7</w:t>
            </w:r>
          </w:hyperlink>
          <w:r>
            <w:rPr>
              <w:rStyle w:val="IndexLink"/>
            </w:rPr>
            <w:fldChar w:fldCharType="end"/>
          </w:r>
        </w:p>
      </w:sdtContent>
    </w:sdt>
    <w:p>
      <w:pPr>
        <w:pStyle w:val="Contents1"/>
        <w:spacing w:before="0" w:after="0"/>
        <w:rPr>
          <w:lang w:eastAsia="en-US"/>
        </w:rPr>
      </w:pPr>
      <w:r>
        <w:rPr>
          <w:lang w:eastAsia="en-US"/>
        </w:rPr>
      </w:r>
    </w:p>
    <w:p>
      <w:pPr>
        <w:pStyle w:val="Contents1"/>
        <w:rPr>
          <w:rFonts w:ascii="Calibri" w:hAnsi="Calibri" w:eastAsia="Times New Roman" w:cs="Times New Roman"/>
          <w:sz w:val="22"/>
          <w:szCs w:val="22"/>
        </w:rPr>
      </w:pPr>
      <w:r>
        <w:rPr>
          <w:rFonts w:eastAsia="Times New Roman" w:cs="Times New Roman" w:ascii="Calibri" w:hAnsi="Calibri"/>
          <w:sz w:val="22"/>
          <w:szCs w:val="22"/>
        </w:rPr>
      </w:r>
    </w:p>
    <w:p>
      <w:pPr>
        <w:pStyle w:val="Heading1"/>
        <w:numPr>
          <w:ilvl w:val="0"/>
          <w:numId w:val="2"/>
        </w:numPr>
        <w:rPr/>
      </w:pPr>
      <w:bookmarkStart w:id="1" w:name="__RefHeading___Toc258322660"/>
      <w:bookmarkEnd w:id="1"/>
      <w:r>
        <w:rPr/>
        <w:t xml:space="preserve"> </w:t>
      </w:r>
      <w:r>
        <w:rPr>
          <w:b/>
          <w:bCs/>
        </w:rPr>
        <w:t>Introduction</w:t>
      </w:r>
    </w:p>
    <w:p>
      <w:pPr>
        <w:pStyle w:val="Normal"/>
        <w:rPr/>
      </w:pPr>
      <w:r>
        <w:rPr/>
        <w:t>The traditional website model for distributing information has been one of open resource connections. Website authors are in control as to how the published resource connections draw upon other resources. This model leaves end-users and administrators who require higher connection security to either trust the site author implicitly or profile a website and provide connection security through other means.</w:t>
      </w:r>
    </w:p>
    <w:p>
      <w:pPr>
        <w:pStyle w:val="Normal"/>
        <w:rPr/>
      </w:pPr>
      <w:r>
        <w:rPr/>
        <w:t xml:space="preserve">Establishing a trust model where all connections are approved by both parties, is an additional step in providing a model where users and administrators can be assured the website they are using is making author-verified connections to second- and </w:t>
      </w:r>
      <w:bookmarkStart w:id="2" w:name="_Int_OmxMOjJO"/>
      <w:r>
        <w:rPr/>
        <w:t>third-parties</w:t>
      </w:r>
      <w:bookmarkEnd w:id="2"/>
      <w:r>
        <w:rPr/>
        <w:t>.</w:t>
      </w:r>
    </w:p>
    <w:p>
      <w:pPr>
        <w:pStyle w:val="Normal"/>
        <w:rPr/>
      </w:pPr>
      <w:r>
        <w:rPr/>
        <w:t>This document covers an implementation for website authors to indicate a validation method of second- and third-party resources and a strict or compatible model for browser owners to enforce depending on their security requirements.</w:t>
      </w:r>
    </w:p>
    <w:p>
      <w:pPr>
        <w:pStyle w:val="Normal"/>
        <w:rPr>
          <w:highlight w:val="yellow"/>
        </w:rPr>
      </w:pPr>
      <w:r>
        <w:rPr>
          <w:highlight w:val="yellow"/>
        </w:rPr>
      </w:r>
    </w:p>
    <w:p>
      <w:pPr>
        <w:pStyle w:val="Heading1"/>
        <w:numPr>
          <w:ilvl w:val="0"/>
          <w:numId w:val="0"/>
        </w:numPr>
        <w:ind w:left="0" w:hanging="0"/>
        <w:rPr/>
      </w:pPr>
      <w:bookmarkStart w:id="3" w:name="__RefHeading___Toc425_245583736"/>
      <w:bookmarkEnd w:id="3"/>
      <w:r>
        <w:rPr>
          <w:b/>
          <w:bCs/>
        </w:rPr>
        <w:t>1.1 Terminology</w:t>
      </w:r>
    </w:p>
    <w:p>
      <w:pPr>
        <w:pStyle w:val="Normal"/>
        <w:rPr/>
      </w:pPr>
      <w:r>
        <w:rPr/>
        <w:t>The key words "MUST", "MUST NOT", "REQUIRED", "SHALL", "SHALL NOT", "SHOULD", "SHOULD NOT", "RECOMMENDED", "NOT RECOMMENDED", "MAY", and "OPTIONAL" in this document are to be interpreted as described in BCP 14 [RFC2119] [RFC8174] when, and only when, they appear in all capitals, as shown here.</w:t>
      </w:r>
    </w:p>
    <w:p>
      <w:pPr>
        <w:pStyle w:val="Heading1"/>
        <w:rPr/>
      </w:pPr>
      <w:bookmarkStart w:id="4" w:name="__RefHeading___Toc427_245583736"/>
      <w:bookmarkEnd w:id="4"/>
      <w:r>
        <w:rPr>
          <w:b/>
          <w:bCs/>
        </w:rPr>
        <w:t>1.2 Applicability</w:t>
      </w:r>
    </w:p>
    <w:p>
      <w:pPr>
        <w:pStyle w:val="Normal"/>
        <w:rPr/>
      </w:pPr>
      <w:r>
        <w:rPr/>
        <w:t xml:space="preserve">This document covers a method of actions user-agents and website authors should implement to enhance security. </w:t>
      </w:r>
    </w:p>
    <w:p>
      <w:pPr>
        <w:pStyle w:val="Heading1"/>
        <w:numPr>
          <w:ilvl w:val="0"/>
          <w:numId w:val="2"/>
        </w:numPr>
        <w:rPr>
          <w:b/>
          <w:b/>
          <w:bCs/>
        </w:rPr>
      </w:pPr>
      <w:bookmarkStart w:id="5" w:name="__RefHeading___Toc2583226761"/>
      <w:bookmarkEnd w:id="5"/>
      <w:r>
        <w:rPr>
          <w:b/>
          <w:bCs/>
        </w:rPr>
        <w:t xml:space="preserve"> </w:t>
      </w:r>
      <w:r>
        <w:rPr>
          <w:b/>
          <w:bCs/>
        </w:rPr>
        <w:t>Conventions used in this document</w:t>
      </w:r>
    </w:p>
    <w:p>
      <w:pPr>
        <w:pStyle w:val="Normal"/>
        <w:rPr/>
      </w:pPr>
      <w:r>
        <w:rPr/>
        <w:t>First-party connections are those created to the same host listed in the URL.</w:t>
      </w:r>
    </w:p>
    <w:p>
      <w:pPr>
        <w:pStyle w:val="Normal"/>
        <w:rPr/>
      </w:pPr>
      <w:r>
        <w:rPr/>
        <w:t>Second-party connections are those created to other hosts using the same top level domain</w:t>
      </w:r>
    </w:p>
    <w:p>
      <w:pPr>
        <w:pStyle w:val="Normal"/>
        <w:rPr/>
      </w:pPr>
      <w:r>
        <w:rPr/>
        <w:t>Third-party connections are those to a host with a different host listed in the URL</w:t>
      </w:r>
    </w:p>
    <w:p>
      <w:pPr>
        <w:pStyle w:val="Heading1"/>
        <w:rPr>
          <w:b/>
          <w:b/>
          <w:bCs/>
        </w:rPr>
      </w:pPr>
      <w:bookmarkStart w:id="6" w:name="__RefHeading___Toc429_245583736"/>
      <w:bookmarkEnd w:id="6"/>
      <w:r>
        <w:rPr>
          <w:b/>
          <w:bCs/>
        </w:rPr>
        <w:t>2.1 DNS Entries published</w:t>
      </w:r>
    </w:p>
    <w:p>
      <w:pPr>
        <w:pStyle w:val="Normal"/>
        <w:rPr/>
      </w:pPr>
      <w:r>
        <w:rPr/>
        <w:t xml:space="preserve">The DNS entry is a TXT record. The format of the record begins with uacs=1; and an optional host= identifier, if the domain serves multiple hostnames which require user-agent connection security. </w:t>
      </w:r>
    </w:p>
    <w:p>
      <w:pPr>
        <w:pStyle w:val="Normal"/>
        <w:rPr/>
      </w:pPr>
      <w:r>
        <w:rPr/>
        <w:t>Every semi-colon separated entry after it must be a RFC1123 or RFC2732 formatted host identifier.</w:t>
      </w:r>
    </w:p>
    <w:p>
      <w:pPr>
        <w:pStyle w:val="Heading1"/>
        <w:rPr>
          <w:b/>
          <w:b/>
          <w:bCs/>
        </w:rPr>
      </w:pPr>
      <w:bookmarkStart w:id="7" w:name="__RefHeading___Toc431_245583736"/>
      <w:bookmarkEnd w:id="7"/>
      <w:r>
        <w:rPr>
          <w:b/>
          <w:bCs/>
        </w:rPr>
        <w:t>2.1.1 Single site and domain example</w:t>
      </w:r>
    </w:p>
    <w:p>
      <w:pPr>
        <w:pStyle w:val="Normal"/>
        <w:rPr/>
      </w:pPr>
      <w:r>
        <w:rPr/>
        <w:t xml:space="preserve">An example record for a single website hosted from a domain: </w:t>
      </w:r>
    </w:p>
    <w:p>
      <w:pPr>
        <w:pStyle w:val="Normal"/>
        <w:rPr/>
      </w:pPr>
      <w:r>
        <w:rPr/>
        <w:t>uacs=1;host.example1.com;*.example2.com;zzzzzzz.example-cloud-network.net</w:t>
      </w:r>
    </w:p>
    <w:p>
      <w:pPr>
        <w:pStyle w:val="Heading1"/>
        <w:rPr>
          <w:b/>
          <w:b/>
          <w:bCs/>
        </w:rPr>
      </w:pPr>
      <w:bookmarkStart w:id="8" w:name="__RefHeading___Toc433_245583736"/>
      <w:bookmarkEnd w:id="8"/>
      <w:r>
        <w:rPr>
          <w:b/>
          <w:bCs/>
        </w:rPr>
        <w:t>2.1.2 Multiple sites and domain example</w:t>
      </w:r>
    </w:p>
    <w:p>
      <w:pPr>
        <w:pStyle w:val="Normal"/>
        <w:rPr/>
      </w:pPr>
      <w:r>
        <w:rPr/>
        <w:t>If a domain serves multiple websites requiring user-agent connection security, these records MUST be broken up into separate TXT records with an identifying host tag:</w:t>
      </w:r>
    </w:p>
    <w:p>
      <w:pPr>
        <w:pStyle w:val="Normal"/>
        <w:rPr/>
      </w:pPr>
      <w:r>
        <w:rPr/>
        <w:t>uacs=1;host=website1.example.com;host.example1.com;*.example2.com</w:t>
      </w:r>
    </w:p>
    <w:p>
      <w:pPr>
        <w:pStyle w:val="Normal"/>
        <w:rPr/>
      </w:pPr>
      <w:r>
        <w:rPr/>
        <w:t>uacs=1;host=website2.example.com;host.example1.com;*.example2.com</w:t>
      </w:r>
    </w:p>
    <w:p>
      <w:pPr>
        <w:pStyle w:val="Normal"/>
        <w:rPr/>
      </w:pPr>
      <w:r>
        <w:rPr/>
        <w:t>Hostname entries are separated by semicolons and no spaces. Where characters have case representations, all characters should be in lower case versions.</w:t>
      </w:r>
    </w:p>
    <w:p>
      <w:pPr>
        <w:pStyle w:val="Heading1"/>
        <w:rPr>
          <w:b/>
          <w:b/>
          <w:bCs/>
        </w:rPr>
      </w:pPr>
      <w:bookmarkStart w:id="9" w:name="__RefHeading___Toc435_245583736"/>
      <w:bookmarkEnd w:id="9"/>
      <w:r>
        <w:rPr>
          <w:b/>
          <w:bCs/>
        </w:rPr>
        <w:t>2.1.3 Wildcards</w:t>
      </w:r>
    </w:p>
    <w:p>
      <w:pPr>
        <w:pStyle w:val="Normal"/>
        <w:rPr/>
      </w:pPr>
      <w:r>
        <w:rPr/>
        <w:t>Wildcards are allowed to reduce record sizes and client processing time, for example a website hosted at example1.com can include resources from *.example2.com in order to accommodate changes example2.com may publish to their service.</w:t>
      </w:r>
    </w:p>
    <w:p>
      <w:pPr>
        <w:pStyle w:val="Normal"/>
        <w:rPr/>
      </w:pPr>
      <w:r>
        <w:rPr/>
        <w:t xml:space="preserve">The wildcard MUST be interpreted as meaning 0 or more characters. </w:t>
      </w:r>
    </w:p>
    <w:p>
      <w:pPr>
        <w:pStyle w:val="Normal"/>
        <w:rPr/>
      </w:pPr>
      <w:r>
        <w:rPr/>
        <w:t>Caution should be used when using wildcards with services that publish random hostnames for customers since site authors may not intend for data from other customers to be referenced. For example, a content distribution network may create content access URIs such as 123456.example.net for every customer. A wildcard against this network would grant resource load opportunities for any non-related customers of that service.</w:t>
      </w:r>
    </w:p>
    <w:p>
      <w:pPr>
        <w:pStyle w:val="Normal"/>
        <w:rPr/>
      </w:pPr>
      <w:r>
        <w:rPr/>
        <w:t>Only one uacs= and one host= are allowed per TXT record.</w:t>
      </w:r>
    </w:p>
    <w:p>
      <w:pPr>
        <w:pStyle w:val="Normal"/>
        <w:ind w:left="72" w:hanging="0"/>
        <w:rPr>
          <w:b/>
          <w:b/>
          <w:bCs/>
        </w:rPr>
      </w:pPr>
      <w:r>
        <w:rPr>
          <w:b/>
          <w:bCs/>
        </w:rPr>
        <w:t>2.2 User-Agent Requests</w:t>
      </w:r>
    </w:p>
    <w:p>
      <w:pPr>
        <w:pStyle w:val="Normal"/>
        <w:rPr/>
      </w:pPr>
      <w:r>
        <w:rPr/>
        <w:t>User-Agents SHOULD include the TXT record request at the time of the DNS request to resolve the host name, should subsequently send the request to retrieve the uacs= TXT record prior to processing any further connection requests other than the initial resource request.</w:t>
      </w:r>
    </w:p>
    <w:p>
      <w:pPr>
        <w:pStyle w:val="Normal"/>
        <w:ind w:left="72" w:hanging="0"/>
        <w:rPr>
          <w:b/>
          <w:b/>
          <w:bCs/>
        </w:rPr>
      </w:pPr>
      <w:r>
        <w:rPr>
          <w:b/>
          <w:bCs/>
        </w:rPr>
        <w:t>2.3 Caching</w:t>
      </w:r>
    </w:p>
    <w:p>
      <w:pPr>
        <w:pStyle w:val="Normal"/>
        <w:rPr/>
      </w:pPr>
      <w:r>
        <w:rPr/>
        <w:t>User-Agents SHOULD follow their normal caching rules for the TXT records request.</w:t>
      </w:r>
    </w:p>
    <w:p>
      <w:pPr>
        <w:pStyle w:val="Normal"/>
        <w:ind w:left="72" w:hanging="0"/>
        <w:rPr>
          <w:b/>
          <w:b/>
          <w:bCs/>
        </w:rPr>
      </w:pPr>
      <w:r>
        <w:rPr>
          <w:b/>
          <w:bCs/>
        </w:rPr>
        <w:t>2.4 User-Agent Enforcement Modes</w:t>
      </w:r>
    </w:p>
    <w:p>
      <w:pPr>
        <w:pStyle w:val="Normal"/>
        <w:rPr/>
      </w:pPr>
      <w:r>
        <w:rPr/>
        <w:t>Compatible, Compliant, Strict</w:t>
      </w:r>
    </w:p>
    <w:p>
      <w:pPr>
        <w:pStyle w:val="Normal"/>
        <w:rPr>
          <w:b/>
          <w:b/>
          <w:bCs/>
        </w:rPr>
      </w:pPr>
      <w:r>
        <w:rPr>
          <w:b/>
          <w:bCs/>
        </w:rPr>
        <w:t>2.4.1 Compatible mode</w:t>
      </w:r>
    </w:p>
    <w:p>
      <w:pPr>
        <w:pStyle w:val="Normal"/>
        <w:rPr/>
      </w:pPr>
      <w:r>
        <w:rPr/>
        <w:t xml:space="preserve">Compatible mode is included as a transition option. This mode indicates the user-agent SHOULD NOT enforce any uacs entries </w:t>
      </w:r>
    </w:p>
    <w:p>
      <w:pPr>
        <w:pStyle w:val="Normal"/>
        <w:rPr>
          <w:b/>
          <w:b/>
          <w:bCs/>
        </w:rPr>
      </w:pPr>
      <w:r>
        <w:rPr>
          <w:b/>
          <w:bCs/>
        </w:rPr>
        <w:t>2.4.2 Compliant mode</w:t>
      </w:r>
    </w:p>
    <w:p>
      <w:pPr>
        <w:pStyle w:val="Normal"/>
        <w:rPr/>
      </w:pPr>
      <w:r>
        <w:rPr/>
        <w:t>Compliant mode indicates the user-agent MUST process and follow the rules identified by a website author.</w:t>
      </w:r>
    </w:p>
    <w:p>
      <w:pPr>
        <w:pStyle w:val="Normal"/>
        <w:rPr>
          <w:b/>
          <w:b/>
          <w:bCs/>
        </w:rPr>
      </w:pPr>
      <w:r>
        <w:rPr>
          <w:b/>
          <w:bCs/>
        </w:rPr>
        <w:t>2.4.3 Strict mode</w:t>
      </w:r>
    </w:p>
    <w:p>
      <w:pPr>
        <w:pStyle w:val="Normal"/>
        <w:rPr/>
      </w:pPr>
      <w:r>
        <w:rPr/>
        <w:t>Strict mode indicates the user-agent should not connect to any resources beyond the domain.</w:t>
      </w:r>
    </w:p>
    <w:p>
      <w:pPr>
        <w:pStyle w:val="Normal"/>
        <w:ind w:left="72" w:hanging="0"/>
        <w:rPr>
          <w:b/>
          <w:b/>
          <w:bCs/>
        </w:rPr>
      </w:pPr>
      <w:r>
        <w:rPr>
          <w:b/>
          <w:bCs/>
        </w:rPr>
        <w:t>2.5 Record Size</w:t>
      </w:r>
    </w:p>
    <w:p>
      <w:pPr>
        <w:pStyle w:val="Normal"/>
        <w:rPr>
          <w:highlight w:val="yellow"/>
        </w:rPr>
      </w:pPr>
      <w:r>
        <w:rPr/>
        <w:t>Published records SHOULD be limited to fit within the 512 octet limit. If not, it could exceed the DNS protocol limit. For further details on the technical details, please see RFC4408 section 3.1.4 entitled Record Size. It is RECOMMENDED to follow these directions.</w:t>
      </w:r>
    </w:p>
    <w:p>
      <w:pPr>
        <w:pStyle w:val="Normal"/>
        <w:ind w:left="72" w:hanging="0"/>
        <w:rPr>
          <w:highlight w:val="yellow"/>
        </w:rPr>
      </w:pPr>
      <w:r>
        <w:rPr>
          <w:highlight w:val="yellow"/>
        </w:rPr>
      </w:r>
    </w:p>
    <w:p>
      <w:pPr>
        <w:pStyle w:val="Heading1"/>
        <w:numPr>
          <w:ilvl w:val="0"/>
          <w:numId w:val="2"/>
        </w:numPr>
        <w:rPr>
          <w:b/>
          <w:b/>
          <w:bCs/>
        </w:rPr>
      </w:pPr>
      <w:bookmarkStart w:id="10" w:name="__RefHeading___Toc258322676"/>
      <w:bookmarkEnd w:id="10"/>
      <w:r>
        <w:rPr>
          <w:b/>
          <w:bCs/>
        </w:rPr>
        <w:t xml:space="preserve"> </w:t>
      </w:r>
      <w:r>
        <w:rPr>
          <w:b/>
          <w:bCs/>
        </w:rPr>
        <w:t>Security Considerations</w:t>
      </w:r>
    </w:p>
    <w:p>
      <w:pPr>
        <w:pStyle w:val="RFCInstructions"/>
        <w:rPr>
          <w:bCs/>
        </w:rPr>
      </w:pPr>
      <w:r>
        <w:rPr>
          <w:bCs/>
        </w:rPr>
        <w:t>3.1 Sensible initial defaults</w:t>
      </w:r>
    </w:p>
    <w:p>
      <w:pPr>
        <w:pStyle w:val="Normal"/>
        <w:rPr/>
      </w:pPr>
      <w:r>
        <w:rPr/>
        <w:t>The initial compatible user agent mode was chosen as a lead in order to provide a path for adoption due to this RFC requiring changes from both website operators and developers of user-agents.</w:t>
      </w:r>
    </w:p>
    <w:p>
      <w:pPr>
        <w:pStyle w:val="Normal"/>
        <w:rPr>
          <w:b/>
          <w:b/>
          <w:bCs/>
        </w:rPr>
      </w:pPr>
      <w:r>
        <w:rPr>
          <w:b/>
          <w:bCs/>
        </w:rPr>
        <w:t>3.2 DNS TXT versus a text file</w:t>
      </w:r>
    </w:p>
    <w:p>
      <w:pPr>
        <w:pStyle w:val="Normal"/>
        <w:rPr/>
      </w:pPr>
      <w:r>
        <w:rPr/>
        <w:t>The DNS TXT entry was chosen after working through a model with a plain text file, similar to security.txt or a robots.txt file. After consideration, one of the defensive tactics for UACS is to protect a client against a server compromise attack in which a text file could be replaced by an attacker. Having the approved connections list separate provides an additional layer of defense.</w:t>
      </w:r>
    </w:p>
    <w:p>
      <w:pPr>
        <w:pStyle w:val="Normal"/>
        <w:rPr>
          <w:b/>
          <w:b/>
          <w:bCs/>
        </w:rPr>
      </w:pPr>
      <w:r>
        <w:rPr>
          <w:b/>
          <w:bCs/>
        </w:rPr>
        <w:t>3.3 Misconfigurations</w:t>
      </w:r>
    </w:p>
    <w:p>
      <w:pPr>
        <w:pStyle w:val="Normal"/>
        <w:rPr/>
      </w:pPr>
      <w:r>
        <w:rPr/>
        <w:t xml:space="preserve">It is possible to configure the connection host entries too inclusively thereby allowing connections to unintended hosts and degrading the security posture this RFC is proposing. </w:t>
      </w:r>
    </w:p>
    <w:p>
      <w:pPr>
        <w:pStyle w:val="Normal"/>
        <w:rPr>
          <w:b/>
          <w:b/>
          <w:bCs/>
        </w:rPr>
      </w:pPr>
      <w:r>
        <w:rPr>
          <w:b/>
          <w:bCs/>
        </w:rPr>
        <w:t>3.4 Profiling</w:t>
      </w:r>
    </w:p>
    <w:p>
      <w:pPr>
        <w:pStyle w:val="Normal"/>
        <w:rPr/>
      </w:pPr>
      <w:r>
        <w:rPr/>
        <w:t xml:space="preserve">A profile-building model of security is prone to functional deferred deprecation upon website updates. For organizations managing security profiles, not every security administrator is willing to trust every website vendor implicitly, and not every website vendor openly discloses every third-party resource connection. </w:t>
      </w:r>
    </w:p>
    <w:p>
      <w:pPr>
        <w:pStyle w:val="Normal"/>
        <w:rPr/>
      </w:pPr>
      <w:r>
        <w:rPr/>
        <w:t>Attacks that leverage injectionable payloads from second- and third-party connections require an open connection to an attacker-controlled resource. Limiting attacks with connection restrictions such as this RFC reduces the available options an attacker may use and improves the security posture of the user agent.</w:t>
      </w:r>
    </w:p>
    <w:p>
      <w:pPr>
        <w:pStyle w:val="Heading1"/>
        <w:numPr>
          <w:ilvl w:val="0"/>
          <w:numId w:val="2"/>
        </w:numPr>
        <w:rPr>
          <w:b/>
          <w:b/>
          <w:bCs/>
        </w:rPr>
      </w:pPr>
      <w:bookmarkStart w:id="11" w:name="__RefHeading___Toc258322677"/>
      <w:bookmarkEnd w:id="11"/>
      <w:r>
        <w:rPr>
          <w:b/>
          <w:bCs/>
        </w:rPr>
        <w:t xml:space="preserve"> </w:t>
      </w:r>
      <w:r>
        <w:rPr>
          <w:b/>
          <w:bCs/>
        </w:rPr>
        <w:t>IANA Considerations</w:t>
      </w:r>
    </w:p>
    <w:p>
      <w:pPr>
        <w:pStyle w:val="Normal"/>
        <w:rPr>
          <w:highlight w:val="yellow"/>
        </w:rPr>
      </w:pPr>
      <w:r>
        <w:rPr/>
        <w:t>This draft does not require any IANA action.</w:t>
      </w:r>
    </w:p>
    <w:p>
      <w:pPr>
        <w:pStyle w:val="Heading1"/>
        <w:ind w:left="432" w:hanging="0"/>
        <w:rPr/>
      </w:pPr>
      <w:r>
        <w:rPr/>
      </w:r>
    </w:p>
    <w:p>
      <w:pPr>
        <w:pStyle w:val="Heading1"/>
        <w:numPr>
          <w:ilvl w:val="0"/>
          <w:numId w:val="2"/>
        </w:numPr>
        <w:rPr>
          <w:b/>
          <w:b/>
          <w:bCs/>
        </w:rPr>
      </w:pPr>
      <w:bookmarkStart w:id="12" w:name="__RefHeading___Toc258322679"/>
      <w:bookmarkEnd w:id="12"/>
      <w:r>
        <w:rPr>
          <w:b/>
          <w:bCs/>
        </w:rPr>
        <w:t xml:space="preserve"> </w:t>
      </w:r>
      <w:r>
        <w:rPr>
          <w:b/>
          <w:bCs/>
        </w:rPr>
        <w:t>References</w:t>
      </w:r>
    </w:p>
    <w:p>
      <w:pPr>
        <w:pStyle w:val="Heading2"/>
        <w:numPr>
          <w:ilvl w:val="1"/>
          <w:numId w:val="2"/>
        </w:numPr>
        <w:rPr>
          <w:b/>
          <w:b/>
          <w:bCs w:val="false"/>
        </w:rPr>
      </w:pPr>
      <w:bookmarkStart w:id="13" w:name="__RefHeading___Toc258322680"/>
      <w:bookmarkEnd w:id="13"/>
      <w:r>
        <w:rPr>
          <w:b/>
          <w:bCs w:val="false"/>
        </w:rPr>
        <w:t xml:space="preserve"> </w:t>
      </w:r>
      <w:r>
        <w:rPr>
          <w:b/>
          <w:bCs w:val="false"/>
        </w:rPr>
        <w:t>Normative References</w:t>
      </w:r>
    </w:p>
    <w:p>
      <w:pPr>
        <w:pStyle w:val="RFCReferences"/>
        <w:numPr>
          <w:ilvl w:val="0"/>
          <w:numId w:val="3"/>
        </w:numPr>
        <w:rPr/>
      </w:pPr>
      <w:r>
        <w:rPr/>
        <w:t>[RFC1034]  Mockapetris, P., "Domain names - concepts and facilities",  RFC 1034, DOI 10.17487/RFC1034, November 1987, &lt;</w:t>
      </w:r>
      <w:hyperlink r:id="rId2">
        <w:r>
          <w:rPr>
            <w:rStyle w:val="InternetLink"/>
          </w:rPr>
          <w:t>https://www.rfc-editor.org/info/rfc1034</w:t>
        </w:r>
      </w:hyperlink>
      <w:r>
        <w:rPr/>
        <w:t>&gt;</w:t>
      </w:r>
    </w:p>
    <w:p>
      <w:pPr>
        <w:pStyle w:val="RFCReferences"/>
        <w:numPr>
          <w:ilvl w:val="0"/>
          <w:numId w:val="3"/>
        </w:numPr>
        <w:rPr/>
      </w:pPr>
      <w:r>
        <w:rPr/>
        <w:t>[</w:t>
      </w:r>
      <w:bookmarkStart w:id="14" w:name="ref-RFC1035"/>
      <w:bookmarkEnd w:id="14"/>
      <w:r>
        <w:rPr/>
        <w:t xml:space="preserve">RFC1035]  Mockapetris, P., "Domain names - implementation and              specification",  </w:t>
      </w:r>
      <w:hyperlink r:id="rId3">
        <w:r>
          <w:rPr>
            <w:rStyle w:val="InternetLink"/>
          </w:rPr>
          <w:t>RFC 1035</w:t>
        </w:r>
      </w:hyperlink>
      <w:r>
        <w:rPr/>
        <w:t>, November 1987.</w:t>
      </w:r>
    </w:p>
    <w:p>
      <w:pPr>
        <w:pStyle w:val="RFCReferences"/>
        <w:numPr>
          <w:ilvl w:val="0"/>
          <w:numId w:val="3"/>
        </w:numPr>
        <w:rPr/>
      </w:pPr>
      <w:r>
        <w:rPr/>
        <w:t xml:space="preserve">[RFC1123] Braden, R., "Requirements for Internet Hosts – Application and Support",  </w:t>
      </w:r>
      <w:hyperlink r:id="rId4">
        <w:r>
          <w:rPr>
            <w:rStyle w:val="InternetLink"/>
          </w:rPr>
          <w:t>RFC 1123</w:t>
        </w:r>
      </w:hyperlink>
      <w:r>
        <w:rPr/>
        <w:t>, October 1989</w:t>
      </w:r>
    </w:p>
    <w:p>
      <w:pPr>
        <w:pStyle w:val="RFCReferences"/>
        <w:numPr>
          <w:ilvl w:val="0"/>
          <w:numId w:val="3"/>
        </w:numPr>
        <w:rPr/>
      </w:pPr>
      <w:r>
        <w:rPr/>
        <w:t xml:space="preserve">[RFC2181] Elz, R., “Clarifications to the DNS Specification”,  </w:t>
      </w:r>
      <w:hyperlink r:id="rId5">
        <w:r>
          <w:rPr>
            <w:rStyle w:val="InternetLink"/>
          </w:rPr>
          <w:t>RFC 2181</w:t>
        </w:r>
      </w:hyperlink>
      <w:r>
        <w:rPr/>
        <w:t>, July 1997</w:t>
      </w:r>
    </w:p>
    <w:p>
      <w:pPr>
        <w:pStyle w:val="RFCReferences"/>
        <w:numPr>
          <w:ilvl w:val="0"/>
          <w:numId w:val="3"/>
        </w:numPr>
        <w:rPr/>
      </w:pPr>
      <w:r>
        <w:rPr/>
        <w:t>[RFC2732] Hinden, R., Carpenter, B., Masinter, L., “Format for Literal IPv6 Addresses in URL’s”, , RFC 2732, December 1999</w:t>
      </w:r>
    </w:p>
    <w:p>
      <w:pPr>
        <w:pStyle w:val="RFCReferences"/>
        <w:numPr>
          <w:ilvl w:val="0"/>
          <w:numId w:val="3"/>
        </w:numPr>
        <w:rPr/>
      </w:pPr>
      <w:r>
        <w:rPr/>
        <w:t xml:space="preserve">[RFC4343] Eastlake 3rd, D., “Domain Name System (DNS) Case Insensitivity Clarification”,  </w:t>
      </w:r>
      <w:hyperlink r:id="rId6">
        <w:r>
          <w:rPr>
            <w:rStyle w:val="InternetLink"/>
          </w:rPr>
          <w:t>RFC 4343</w:t>
        </w:r>
      </w:hyperlink>
      <w:r>
        <w:rPr/>
        <w:t>, January 2006</w:t>
      </w:r>
    </w:p>
    <w:p>
      <w:pPr>
        <w:pStyle w:val="RFCReferences"/>
        <w:numPr>
          <w:ilvl w:val="0"/>
          <w:numId w:val="3"/>
        </w:numPr>
        <w:rPr/>
      </w:pPr>
      <w:r>
        <w:rPr/>
        <w:t xml:space="preserve">[RFC2119] </w:t>
      </w:r>
      <w:bookmarkStart w:id="15" w:name="_Ref86156292"/>
      <w:bookmarkStart w:id="16" w:name="_Ref86333103"/>
      <w:r>
        <w:rPr/>
        <w:t xml:space="preserve">Bradner, S., "Key words for use in RFCs to Indicate Requirement Levels", BCP 14, </w:t>
      </w:r>
      <w:hyperlink r:id="rId7">
        <w:r>
          <w:rPr>
            <w:rStyle w:val="InternetLink"/>
          </w:rPr>
          <w:t>RFC 2119</w:t>
        </w:r>
      </w:hyperlink>
      <w:r>
        <w:rPr/>
        <w:t>, March 1997.</w:t>
      </w:r>
      <w:bookmarkEnd w:id="15"/>
      <w:bookmarkEnd w:id="16"/>
    </w:p>
    <w:p>
      <w:pPr>
        <w:pStyle w:val="RFCReferences"/>
        <w:numPr>
          <w:ilvl w:val="0"/>
          <w:numId w:val="3"/>
        </w:numPr>
        <w:rPr/>
      </w:pPr>
      <w:r>
        <w:rPr/>
        <w:t xml:space="preserve">[RFC2234] </w:t>
      </w:r>
      <w:bookmarkStart w:id="17" w:name="_Ref86156304"/>
      <w:r>
        <w:rPr/>
        <w:t xml:space="preserve">Crocker, D. and Overell, P.(Editors), "Augmented BNF for Syntax Specifications: ABNF", </w:t>
      </w:r>
      <w:hyperlink r:id="rId8">
        <w:r>
          <w:rPr>
            <w:rStyle w:val="InternetLink"/>
          </w:rPr>
          <w:t>RFC 2234</w:t>
        </w:r>
      </w:hyperlink>
      <w:r>
        <w:rPr/>
        <w:t>, Internet Mail Consortium and Demon Internet Ltd., November 1997.</w:t>
      </w:r>
      <w:bookmarkEnd w:id="17"/>
    </w:p>
    <w:p>
      <w:pPr>
        <w:pStyle w:val="RFCReferencesBookmark"/>
        <w:rPr/>
      </w:pPr>
      <w:r>
        <w:rPr/>
      </w:r>
    </w:p>
    <w:p>
      <w:pPr>
        <w:pStyle w:val="Heading1"/>
        <w:numPr>
          <w:ilvl w:val="0"/>
          <w:numId w:val="2"/>
        </w:numPr>
        <w:rPr>
          <w:b/>
          <w:b/>
          <w:bCs/>
        </w:rPr>
      </w:pPr>
      <w:bookmarkStart w:id="18" w:name="__RefHeading___Toc258322682"/>
      <w:bookmarkEnd w:id="18"/>
      <w:r>
        <w:rPr>
          <w:b/>
          <w:bCs/>
        </w:rPr>
        <w:t xml:space="preserve"> </w:t>
      </w:r>
      <w:r>
        <w:rPr>
          <w:b/>
          <w:bCs/>
        </w:rPr>
        <w:t>Acknowledgments</w:t>
      </w:r>
    </w:p>
    <w:p>
      <w:pPr>
        <w:pStyle w:val="Normal"/>
        <w:rPr/>
      </w:pPr>
      <w:r>
        <w:rPr/>
        <w:t xml:space="preserve">The author would like to thank Steven Hart, </w:t>
      </w:r>
      <w:r>
        <w:rPr/>
        <w:t xml:space="preserve">Michael J. Calaletto, Yulia Slesavara </w:t>
      </w:r>
      <w:r>
        <w:rPr/>
        <w:t>and the many other team members who contributed suggestions and edits to help complete this document.</w:t>
      </w:r>
    </w:p>
    <w:p>
      <w:pPr>
        <w:pStyle w:val="Normal"/>
        <w:rPr/>
      </w:pPr>
      <w:r>
        <w:rPr/>
        <w:t>This document was prepared using 2-Word-v2.0.template.dot.</w:t>
      </w:r>
    </w:p>
    <w:p>
      <w:pPr>
        <w:pStyle w:val="RFCH1noTOCnonum"/>
        <w:rPr/>
      </w:pPr>
      <w:r>
        <w:rPr/>
        <w:t>Authors’ Addresses</w:t>
      </w:r>
    </w:p>
    <w:p>
      <w:pPr>
        <w:pStyle w:val="RFCFigure"/>
        <w:rPr/>
      </w:pPr>
      <w:r>
        <w:rPr/>
        <w:t>David Steckbeck</w:t>
        <w:tab/>
      </w:r>
    </w:p>
    <w:p>
      <w:pPr>
        <w:pStyle w:val="RFCFigure"/>
        <w:rPr/>
      </w:pPr>
      <w:r>
        <w:rPr/>
        <w:t>Email: dsteckbeck@gatech.edu</w:t>
      </w:r>
    </w:p>
    <w:p>
      <w:pPr>
        <w:pStyle w:val="Normal"/>
        <w:rPr>
          <w:rFonts w:cs="Times New Roman"/>
        </w:rPr>
      </w:pPr>
      <w:r>
        <w:rPr>
          <w:rFonts w:cs="Times New Roman"/>
        </w:rPr>
      </w:r>
    </w:p>
    <w:p>
      <w:pPr>
        <w:pStyle w:val="Normal"/>
        <w:widowControl/>
        <w:suppressAutoHyphens w:val="true"/>
        <w:bidi w:val="0"/>
        <w:spacing w:lineRule="exact" w:line="240" w:before="0" w:after="240"/>
        <w:ind w:left="432" w:hanging="0"/>
        <w:jc w:val="left"/>
        <w:rPr/>
      </w:pPr>
      <w:r>
        <w:rPr/>
      </w:r>
    </w:p>
    <w:sectPr>
      <w:headerReference w:type="default" r:id="rId9"/>
      <w:headerReference w:type="first" r:id="rId10"/>
      <w:footerReference w:type="default" r:id="rId11"/>
      <w:footerReference w:type="first" r:id="rId12"/>
      <w:type w:val="nextPage"/>
      <w:pgSz w:w="12240" w:h="15840"/>
      <w:pgMar w:left="720" w:right="1152" w:gutter="0" w:header="1440" w:top="1497" w:footer="1200" w:bottom="1257"/>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1"/>
    <w:family w:val="roman"/>
    <w:pitch w:val="variable"/>
  </w:font>
  <w:font w:name="Symbol">
    <w:charset w:val="01"/>
    <w:family w:val="roman"/>
    <w:pitch w:val="variable"/>
  </w:font>
  <w:font w:name="Wingdings">
    <w:charset w:val="01"/>
    <w:family w:val="roman"/>
    <w:pitch w:val="variable"/>
  </w:font>
  <w:font w:name="Arial">
    <w:charset w:val="01"/>
    <w:family w:val="roman"/>
    <w:pitch w:val="variable"/>
  </w:font>
  <w:font w:name="Tahoma">
    <w:charset w:val="01"/>
    <w:family w:val="roman"/>
    <w:pitch w:val="variable"/>
  </w:font>
  <w:font w:name="Times New Roman">
    <w:charset w:val="01"/>
    <w:family w:val="roman"/>
    <w:pitch w:val="variable"/>
  </w:font>
  <w:font w:name="Liberation Mono">
    <w:altName w:val="Courier New"/>
    <w:charset w:val="01"/>
    <w:family w:val="roman"/>
    <w:pitch w:val="variable"/>
  </w:font>
  <w:font w:name="Calibri">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highlight w:val="yellow"/>
      </w:rPr>
      <w:br/>
      <w:br/>
    </w:r>
    <w:r>
      <w:rPr>
        <w:color w:val="000000"/>
      </w:rPr>
      <w:t>Steckbeck</w:t>
    </w:r>
    <w:r>
      <w:rPr>
        <w:rFonts w:cs="Times New Roman"/>
      </w:rPr>
      <w:tab/>
    </w:r>
    <w:r>
      <w:rPr/>
      <w:t xml:space="preserve">Expires </w:t>
    </w:r>
    <w:r>
      <w:rPr>
        <w:lang w:eastAsia="en-US"/>
      </w:rPr>
      <w:t>September 13</w:t>
    </w:r>
    <w:r>
      <w:rPr/>
      <w:t xml:space="preserve">, </w:t>
    </w:r>
    <w:r>
      <w:rPr>
        <w:lang w:eastAsia="en-US"/>
      </w:rPr>
      <w:t>2023</w:t>
    </w:r>
    <w:r>
      <w:rPr>
        <w:rFonts w:cs="Times New Roman"/>
      </w:rPr>
      <w:tab/>
    </w:r>
    <w:r>
      <w:rPr/>
      <w:t xml:space="preserve">[Page </w:t>
    </w:r>
    <w:r>
      <w:rPr/>
      <w:fldChar w:fldCharType="begin"/>
    </w:r>
    <w:r>
      <w:rPr/>
      <w:instrText xml:space="preserve"> PAGE </w:instrText>
    </w:r>
    <w:r>
      <w:rPr/>
      <w:fldChar w:fldCharType="separate"/>
    </w:r>
    <w:r>
      <w:rPr/>
      <w:t>7</w:t>
    </w:r>
    <w:r>
      <w:rPr/>
      <w:fldChar w:fldCharType="end"/>
    </w:r>
    <w:r>
      <w:rPr/>
      <w:t>]</w:t>
    </w:r>
  </w:p>
  <w:p>
    <w:pPr>
      <w:pStyle w:val="Normal"/>
      <w:widowControl/>
      <w:suppressAutoHyphens w:val="true"/>
      <w:bidi w:val="0"/>
      <w:spacing w:lineRule="exact" w:line="240" w:before="0" w:after="240"/>
      <w:ind w:left="432" w:hanging="0"/>
      <w:jc w:val="left"/>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highlight w:val="yellow"/>
      </w:rPr>
    </w:pPr>
    <w:r>
      <w:rPr>
        <w:highlight w:val="yellow"/>
      </w:rPr>
    </w:r>
  </w:p>
  <w:p>
    <w:pPr>
      <w:pStyle w:val="Footer"/>
      <w:rPr>
        <w:highlight w:val="yellow"/>
      </w:rPr>
    </w:pPr>
    <w:r>
      <w:rPr>
        <w:highlight w:val="yellow"/>
      </w:rPr>
    </w:r>
  </w:p>
  <w:p>
    <w:pPr>
      <w:pStyle w:val="Footer"/>
      <w:rPr>
        <w:highlight w:val="yellow"/>
      </w:rPr>
    </w:pPr>
    <w:r>
      <w:rPr>
        <w:highlight w:val="yellow"/>
      </w:rPr>
    </w:r>
  </w:p>
  <w:p>
    <w:pPr>
      <w:pStyle w:val="Footer"/>
      <w:rPr/>
    </w:pPr>
    <w:r>
      <w:rPr/>
      <w:t>Steckbeck</w:t>
      <w:tab/>
      <w:t xml:space="preserve">Expires </w:t>
    </w:r>
    <w:r>
      <w:rPr>
        <w:lang w:eastAsia="en-US"/>
      </w:rPr>
      <w:t>September</w:t>
    </w:r>
    <w:r>
      <w:rPr/>
      <w:t xml:space="preserve"> 13, </w:t>
    </w:r>
    <w:r>
      <w:rPr>
        <w:lang w:eastAsia="en-US"/>
      </w:rPr>
      <w:t>2023</w:t>
    </w:r>
    <w:r>
      <w:rPr/>
      <w:tab/>
      <w:t xml:space="preserve">[Page </w:t>
    </w:r>
    <w:r>
      <w:rPr/>
      <w:fldChar w:fldCharType="begin"/>
    </w:r>
    <w:r>
      <w:rPr/>
      <w:instrText xml:space="preserve"> PAGE </w:instrText>
    </w:r>
    <w:r>
      <w:rPr/>
      <w:fldChar w:fldCharType="separate"/>
    </w:r>
    <w:r>
      <w:rPr/>
      <w:t>1</w:t>
    </w:r>
    <w:r>
      <w:rPr/>
      <w:fldChar w:fldCharType="end"/>
    </w:r>
    <w:r>
      <w:rPr/>
      <w:t>]</w:t>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Fonts w:cs="Times New Roman"/>
        <w:lang w:eastAsia="ko-KR"/>
      </w:rPr>
      <w:t xml:space="preserve">User Agent Connection Security </w:t>
    </w:r>
    <w:r>
      <w:rPr>
        <w:lang w:eastAsia="ko-KR"/>
      </w:rPr>
      <w:t xml:space="preserve"> </w:t>
      <w:tab/>
      <w:tab/>
      <w:t>January 2023</w:t>
    </w:r>
  </w:p>
  <w:p>
    <w:pPr>
      <w:pStyle w:val="Normal"/>
      <w:spacing w:before="0" w:after="240"/>
      <w:rPr>
        <w:lang w:eastAsia="ko-KR"/>
      </w:rPr>
    </w:pPr>
    <w:r>
      <w:rPr>
        <w:lang w:eastAsia="ko-K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Style w:val="TableGrid"/>
      <w:tblW w:w="10364" w:type="dxa"/>
      <w:jc w:val="left"/>
      <w:tblInd w:w="0" w:type="dxa"/>
      <w:tblLayout w:type="fixed"/>
      <w:tblCellMar>
        <w:top w:w="0" w:type="dxa"/>
        <w:left w:w="108" w:type="dxa"/>
        <w:bottom w:w="0" w:type="dxa"/>
        <w:right w:w="108" w:type="dxa"/>
      </w:tblCellMar>
      <w:tblLook w:val="06a0" w:noHBand="1" w:noVBand="1" w:firstColumn="1" w:lastRow="0" w:lastColumn="0" w:firstRow="1"/>
    </w:tblPr>
    <w:tblGrid>
      <w:gridCol w:w="5183"/>
      <w:gridCol w:w="5180"/>
    </w:tblGrid>
    <w:tr>
      <w:trPr>
        <w:trHeight w:val="300" w:hRule="atLeast"/>
      </w:trPr>
      <w:tc>
        <w:tcPr>
          <w:tcW w:w="5183" w:type="dxa"/>
          <w:tcBorders/>
        </w:tcPr>
        <w:p>
          <w:pPr>
            <w:pStyle w:val="Header"/>
            <w:widowControl w:val="false"/>
            <w:suppressAutoHyphens w:val="true"/>
            <w:spacing w:before="0" w:after="0"/>
            <w:jc w:val="left"/>
            <w:rPr>
              <w:kern w:val="0"/>
              <w:szCs w:val="24"/>
              <w:lang w:val="en-US" w:eastAsia="zh-CN"/>
            </w:rPr>
          </w:pPr>
          <w:r>
            <w:rPr>
              <w:kern w:val="0"/>
              <w:szCs w:val="24"/>
              <w:highlight w:val="yellow"/>
              <w:lang w:val="en-US" w:eastAsia="zh-CN"/>
            </w:rPr>
            <w:t>&lt;Network Working Group&gt;</w:t>
          </w:r>
        </w:p>
        <w:p>
          <w:pPr>
            <w:pStyle w:val="Header"/>
            <w:widowControl w:val="false"/>
            <w:suppressAutoHyphens w:val="true"/>
            <w:spacing w:before="0" w:after="0"/>
            <w:jc w:val="left"/>
            <w:rPr>
              <w:highlight w:val="yellow"/>
            </w:rPr>
          </w:pPr>
          <w:r>
            <w:rPr>
              <w:kern w:val="0"/>
              <w:szCs w:val="24"/>
              <w:lang w:val="en-US" w:eastAsia="zh-CN"/>
            </w:rPr>
            <w:t>Internet-Draft</w:t>
          </w:r>
        </w:p>
        <w:p>
          <w:pPr>
            <w:pStyle w:val="Header"/>
            <w:widowControl w:val="false"/>
            <w:suppressAutoHyphens w:val="true"/>
            <w:spacing w:before="0" w:after="0"/>
            <w:jc w:val="left"/>
            <w:rPr>
              <w:kern w:val="0"/>
              <w:szCs w:val="24"/>
              <w:lang w:val="en-US" w:eastAsia="zh-CN"/>
            </w:rPr>
          </w:pPr>
          <w:r>
            <w:rPr>
              <w:kern w:val="0"/>
              <w:szCs w:val="24"/>
              <w:lang w:val="en-US" w:eastAsia="zh-CN"/>
            </w:rPr>
            <w:t>Intended status: Standards Track</w:t>
          </w:r>
        </w:p>
        <w:p>
          <w:pPr>
            <w:pStyle w:val="Header"/>
            <w:widowControl w:val="false"/>
            <w:suppressAutoHyphens w:val="true"/>
            <w:spacing w:before="0" w:after="0"/>
            <w:jc w:val="left"/>
            <w:rPr>
              <w:kern w:val="0"/>
              <w:szCs w:val="24"/>
              <w:lang w:val="en-US"/>
            </w:rPr>
          </w:pPr>
          <w:r>
            <w:rPr>
              <w:kern w:val="0"/>
              <w:szCs w:val="24"/>
              <w:lang w:val="en-US" w:eastAsia="zh-CN"/>
            </w:rPr>
            <w:t xml:space="preserve">Expires: </w:t>
          </w:r>
          <w:r>
            <w:rPr>
              <w:kern w:val="0"/>
              <w:szCs w:val="24"/>
              <w:lang w:val="en-US" w:eastAsia="en-US"/>
            </w:rPr>
            <w:t>13 September 2023</w:t>
          </w:r>
        </w:p>
      </w:tc>
      <w:tc>
        <w:tcPr>
          <w:tcW w:w="5180" w:type="dxa"/>
          <w:tcBorders/>
        </w:tcPr>
        <w:p>
          <w:pPr>
            <w:pStyle w:val="Header"/>
            <w:widowControl w:val="false"/>
            <w:suppressAutoHyphens w:val="true"/>
            <w:spacing w:before="0" w:after="0"/>
            <w:jc w:val="right"/>
            <w:rPr>
              <w:kern w:val="0"/>
              <w:szCs w:val="24"/>
              <w:lang w:val="en-US" w:eastAsia="zh-CN"/>
            </w:rPr>
          </w:pPr>
          <w:r>
            <w:rPr>
              <w:kern w:val="0"/>
              <w:szCs w:val="24"/>
              <w:highlight w:val="yellow"/>
              <w:lang w:val="en-US" w:eastAsia="zh-CN"/>
            </w:rPr>
            <w:t>&lt;D. Steckbeck&gt;</w:t>
          </w:r>
        </w:p>
        <w:p>
          <w:pPr>
            <w:pStyle w:val="Header"/>
            <w:widowControl w:val="false"/>
            <w:suppressAutoHyphens w:val="true"/>
            <w:spacing w:before="0" w:after="0"/>
            <w:jc w:val="right"/>
            <w:rPr>
              <w:kern w:val="0"/>
              <w:szCs w:val="24"/>
              <w:lang w:val="en-US" w:eastAsia="zh-CN"/>
            </w:rPr>
          </w:pPr>
          <w:r>
            <w:rPr>
              <w:kern w:val="0"/>
              <w:szCs w:val="24"/>
              <w:highlight w:val="yellow"/>
              <w:lang w:val="en-US" w:eastAsia="zh-CN"/>
            </w:rPr>
            <w:t>Georgia Institute of Technology</w:t>
          </w:r>
        </w:p>
        <w:p>
          <w:pPr>
            <w:pStyle w:val="Header"/>
            <w:widowControl w:val="false"/>
            <w:suppressAutoHyphens w:val="true"/>
            <w:spacing w:before="0" w:after="0"/>
            <w:jc w:val="right"/>
            <w:rPr>
              <w:kern w:val="0"/>
              <w:szCs w:val="24"/>
              <w:lang w:val="en-US" w:eastAsia="zh-CN"/>
            </w:rPr>
          </w:pPr>
          <w:r>
            <w:rPr>
              <w:kern w:val="0"/>
              <w:szCs w:val="24"/>
              <w:lang w:val="en-US" w:eastAsia="zh-CN"/>
            </w:rPr>
            <w:t>January 9, 2023</w:t>
          </w:r>
        </w:p>
      </w:tc>
    </w:tr>
  </w:tbl>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432" w:hanging="432"/>
      </w:pPr>
      <w:rPr/>
    </w:lvl>
    <w:lvl w:ilvl="1">
      <w:start w:val="1"/>
      <w:pStyle w:val="Heading2"/>
      <w:numFmt w:val="decimal"/>
      <w:suff w:val="nothing"/>
      <w:lvlText w:val="%2"/>
      <w:lvlJc w:val="left"/>
      <w:pPr>
        <w:tabs>
          <w:tab w:val="num" w:pos="0"/>
        </w:tabs>
        <w:ind w:left="432" w:hanging="432"/>
      </w:pPr>
      <w:rPr/>
    </w:lvl>
    <w:lvl w:ilvl="2">
      <w:start w:val="1"/>
      <w:pStyle w:val="Heading3"/>
      <w:numFmt w:val="decimal"/>
      <w:suff w:val="nothing"/>
      <w:lvlText w:val="%2.%3"/>
      <w:lvlJc w:val="left"/>
      <w:pPr>
        <w:tabs>
          <w:tab w:val="num" w:pos="0"/>
        </w:tabs>
        <w:ind w:left="432" w:hanging="432"/>
      </w:pPr>
      <w:rPr/>
    </w:lvl>
    <w:lvl w:ilvl="3">
      <w:start w:val="1"/>
      <w:pStyle w:val="Heading4"/>
      <w:numFmt w:val="decimal"/>
      <w:suff w:val="nothing"/>
      <w:lvlText w:val="%2.%3.%4"/>
      <w:lvlJc w:val="left"/>
      <w:pPr>
        <w:tabs>
          <w:tab w:val="num" w:pos="0"/>
        </w:tabs>
        <w:ind w:left="432" w:hanging="432"/>
      </w:pPr>
      <w:rPr/>
    </w:lvl>
    <w:lvl w:ilvl="4">
      <w:start w:val="1"/>
      <w:pStyle w:val="Heading5"/>
      <w:numFmt w:val="decimal"/>
      <w:suff w:val="nothing"/>
      <w:lvlText w:val="%2.%3.%4.%5"/>
      <w:lvlJc w:val="left"/>
      <w:pPr>
        <w:tabs>
          <w:tab w:val="num" w:pos="0"/>
        </w:tabs>
        <w:ind w:left="432" w:hanging="432"/>
      </w:pPr>
      <w:rPr/>
    </w:lvl>
    <w:lvl w:ilvl="5">
      <w:start w:val="1"/>
      <w:pStyle w:val="Heading6"/>
      <w:numFmt w:val="decimal"/>
      <w:suff w:val="nothing"/>
      <w:lvlText w:val="%2.%3.%4.%5.%6"/>
      <w:lvlJc w:val="left"/>
      <w:pPr>
        <w:tabs>
          <w:tab w:val="num" w:pos="0"/>
        </w:tabs>
        <w:ind w:left="432" w:hanging="432"/>
      </w:pPr>
      <w:rPr/>
    </w:lvl>
    <w:lvl w:ilvl="6">
      <w:start w:val="1"/>
      <w:pStyle w:val="Heading7"/>
      <w:numFmt w:val="decimal"/>
      <w:suff w:val="nothing"/>
      <w:lvlText w:val="%2.%3.%4.%5.%6.%7"/>
      <w:lvlJc w:val="left"/>
      <w:pPr>
        <w:tabs>
          <w:tab w:val="num" w:pos="0"/>
        </w:tabs>
        <w:ind w:left="432" w:hanging="432"/>
      </w:pPr>
      <w:rPr/>
    </w:lvl>
    <w:lvl w:ilvl="7">
      <w:start w:val="1"/>
      <w:pStyle w:val="Heading8"/>
      <w:numFmt w:val="decimal"/>
      <w:suff w:val="nothing"/>
      <w:lvlText w:val="%2.%3.%4.%5.%6.%7.%8"/>
      <w:lvlJc w:val="left"/>
      <w:pPr>
        <w:tabs>
          <w:tab w:val="num" w:pos="0"/>
        </w:tabs>
        <w:ind w:left="432" w:hanging="432"/>
      </w:pPr>
      <w:rPr/>
    </w:lvl>
    <w:lvl w:ilvl="8">
      <w:start w:val="1"/>
      <w:pStyle w:val="Heading9"/>
      <w:numFmt w:val="decimal"/>
      <w:suff w:val="nothing"/>
      <w:lvlText w:val="%2.%3.%4.%5.%6.%7.%8.%9"/>
      <w:lvlJc w:val="left"/>
      <w:pPr>
        <w:tabs>
          <w:tab w:val="num" w:pos="0"/>
        </w:tabs>
        <w:ind w:left="432" w:hanging="432"/>
      </w:pPr>
      <w:rPr/>
    </w:lvl>
  </w:abstractNum>
  <w:abstractNum w:abstractNumId="2">
    <w:lvl w:ilvl="0">
      <w:start w:val="1"/>
      <w:numFmt w:val="decimal"/>
      <w:suff w:val="nothing"/>
      <w:lvlText w:val="%1"/>
      <w:lvlJc w:val="left"/>
      <w:pPr>
        <w:tabs>
          <w:tab w:val="num" w:pos="0"/>
        </w:tabs>
        <w:ind w:left="432" w:hanging="432"/>
      </w:pPr>
      <w:rPr/>
    </w:lvl>
    <w:lvl w:ilvl="1">
      <w:start w:val="1"/>
      <w:numFmt w:val="decimal"/>
      <w:suff w:val="nothing"/>
      <w:lvlText w:val="%1.%2"/>
      <w:lvlJc w:val="left"/>
      <w:pPr>
        <w:tabs>
          <w:tab w:val="num" w:pos="0"/>
        </w:tabs>
        <w:ind w:left="432" w:hanging="432"/>
      </w:pPr>
      <w:rPr/>
    </w:lvl>
    <w:lvl w:ilvl="2">
      <w:start w:val="1"/>
      <w:numFmt w:val="decimal"/>
      <w:suff w:val="nothing"/>
      <w:lvlText w:val="%1.%2.%3"/>
      <w:lvlJc w:val="left"/>
      <w:pPr>
        <w:tabs>
          <w:tab w:val="num" w:pos="0"/>
        </w:tabs>
        <w:ind w:left="432" w:hanging="432"/>
      </w:pPr>
      <w:rPr/>
    </w:lvl>
    <w:lvl w:ilvl="3">
      <w:start w:val="1"/>
      <w:numFmt w:val="decimal"/>
      <w:suff w:val="nothing"/>
      <w:lvlText w:val="%1.%2.%3.%4"/>
      <w:lvlJc w:val="left"/>
      <w:pPr>
        <w:tabs>
          <w:tab w:val="num" w:pos="0"/>
        </w:tabs>
        <w:ind w:left="432" w:hanging="432"/>
      </w:pPr>
      <w:rPr/>
    </w:lvl>
    <w:lvl w:ilvl="4">
      <w:start w:val="1"/>
      <w:numFmt w:val="decimal"/>
      <w:suff w:val="nothing"/>
      <w:lvlText w:val="%1.%2.%3.%4.%5"/>
      <w:lvlJc w:val="left"/>
      <w:pPr>
        <w:tabs>
          <w:tab w:val="num" w:pos="0"/>
        </w:tabs>
        <w:ind w:left="432" w:hanging="432"/>
      </w:pPr>
      <w:rPr/>
    </w:lvl>
    <w:lvl w:ilvl="5">
      <w:start w:val="1"/>
      <w:numFmt w:val="decimal"/>
      <w:suff w:val="nothing"/>
      <w:lvlText w:val="%1.%2.%3.%4.%5.%6"/>
      <w:lvlJc w:val="left"/>
      <w:pPr>
        <w:tabs>
          <w:tab w:val="num" w:pos="0"/>
        </w:tabs>
        <w:ind w:left="432" w:hanging="432"/>
      </w:pPr>
      <w:rPr/>
    </w:lvl>
    <w:lvl w:ilvl="6">
      <w:start w:val="1"/>
      <w:numFmt w:val="decimal"/>
      <w:suff w:val="nothing"/>
      <w:lvlText w:val="%1.%2.%3.%4.%5.%6.%7"/>
      <w:lvlJc w:val="left"/>
      <w:pPr>
        <w:tabs>
          <w:tab w:val="num" w:pos="0"/>
        </w:tabs>
        <w:ind w:left="432" w:hanging="432"/>
      </w:pPr>
      <w:rPr/>
    </w:lvl>
    <w:lvl w:ilvl="7">
      <w:start w:val="1"/>
      <w:numFmt w:val="decimal"/>
      <w:suff w:val="nothing"/>
      <w:lvlText w:val="%1.%2.%3.%4.%5.%6.%7.%8"/>
      <w:lvlJc w:val="left"/>
      <w:pPr>
        <w:tabs>
          <w:tab w:val="num" w:pos="0"/>
        </w:tabs>
        <w:ind w:left="432" w:hanging="432"/>
      </w:pPr>
      <w:rPr/>
    </w:lvl>
    <w:lvl w:ilvl="8">
      <w:start w:val="1"/>
      <w:numFmt w:val="decimal"/>
      <w:suff w:val="nothing"/>
      <w:lvlText w:val="%1.%2.%3.%4.%5.%6.%7.%8.%9"/>
      <w:lvlJc w:val="left"/>
      <w:pPr>
        <w:tabs>
          <w:tab w:val="num" w:pos="0"/>
        </w:tabs>
        <w:ind w:left="432" w:hanging="432"/>
      </w:pPr>
      <w:rPr/>
    </w:lvl>
  </w:abstractNum>
  <w:abstractNum w:abstractNumId="3">
    <w:lvl w:ilvl="0">
      <w:start w:val="1"/>
      <w:numFmt w:val="decimal"/>
      <w:lvlText w:val="%1"/>
      <w:lvlJc w:val="left"/>
      <w:pPr>
        <w:tabs>
          <w:tab w:val="num" w:pos="1296"/>
        </w:tabs>
        <w:ind w:left="1296" w:hanging="864"/>
      </w:pPr>
      <w:rPr/>
    </w:lvl>
    <w:lvl w:ilvl="1">
      <w:start w:val="1"/>
      <w:numFmt w:val="decimal"/>
      <w:lvlText w:val="%1.%2"/>
      <w:lvlJc w:val="left"/>
      <w:pPr>
        <w:tabs>
          <w:tab w:val="num" w:pos="1080"/>
        </w:tabs>
        <w:ind w:left="1080" w:hanging="360"/>
      </w:pPr>
      <w:rPr/>
    </w:lvl>
    <w:lvl w:ilvl="2">
      <w:start w:val="1"/>
      <w:numFmt w:val="decimal"/>
      <w:lvlText w:val="%2.%3"/>
      <w:lvlJc w:val="left"/>
      <w:pPr>
        <w:tabs>
          <w:tab w:val="num" w:pos="1440"/>
        </w:tabs>
        <w:ind w:left="1440" w:hanging="360"/>
      </w:pPr>
      <w:rPr/>
    </w:lvl>
    <w:lvl w:ilvl="3">
      <w:start w:val="1"/>
      <w:numFmt w:val="decimal"/>
      <w:lvlText w:val="%3.%4"/>
      <w:lvlJc w:val="left"/>
      <w:pPr>
        <w:tabs>
          <w:tab w:val="num" w:pos="1800"/>
        </w:tabs>
        <w:ind w:left="1800" w:hanging="360"/>
      </w:pPr>
      <w:rPr/>
    </w:lvl>
    <w:lvl w:ilvl="4">
      <w:start w:val="1"/>
      <w:numFmt w:val="decimal"/>
      <w:lvlText w:val="%4.%5"/>
      <w:lvlJc w:val="left"/>
      <w:pPr>
        <w:tabs>
          <w:tab w:val="num" w:pos="2160"/>
        </w:tabs>
        <w:ind w:left="2160" w:hanging="360"/>
      </w:pPr>
      <w:rPr/>
    </w:lvl>
    <w:lvl w:ilvl="5">
      <w:start w:val="1"/>
      <w:numFmt w:val="decimal"/>
      <w:lvlText w:val="%5.%6"/>
      <w:lvlJc w:val="left"/>
      <w:pPr>
        <w:tabs>
          <w:tab w:val="num" w:pos="2520"/>
        </w:tabs>
        <w:ind w:left="2520" w:hanging="360"/>
      </w:pPr>
      <w:rPr/>
    </w:lvl>
    <w:lvl w:ilvl="6">
      <w:start w:val="1"/>
      <w:numFmt w:val="decimal"/>
      <w:lvlText w:val="%6.%7"/>
      <w:lvlJc w:val="left"/>
      <w:pPr>
        <w:tabs>
          <w:tab w:val="num" w:pos="2880"/>
        </w:tabs>
        <w:ind w:left="2880" w:hanging="360"/>
      </w:pPr>
      <w:rPr/>
    </w:lvl>
    <w:lvl w:ilvl="7">
      <w:start w:val="1"/>
      <w:numFmt w:val="decimal"/>
      <w:lvlText w:val="%7.%8"/>
      <w:lvlJc w:val="left"/>
      <w:pPr>
        <w:tabs>
          <w:tab w:val="num" w:pos="3240"/>
        </w:tabs>
        <w:ind w:left="3240" w:hanging="360"/>
      </w:pPr>
      <w:rPr/>
    </w:lvl>
    <w:lvl w:ilvl="8">
      <w:start w:val="1"/>
      <w:numFmt w:val="decimal"/>
      <w:lvlText w:val="%8.%9"/>
      <w:lvlJc w:val="left"/>
      <w:pPr>
        <w:tabs>
          <w:tab w:val="num" w:pos="3600"/>
        </w:tabs>
        <w:ind w:left="3600" w:hanging="360"/>
      </w:pPr>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40"/>
  <w:trackRevisions/>
  <w:defaultTabStop w:val="720"/>
  <w:autoHyphenation w:val="true"/>
  <w:compat>
    <w:compatSetting w:name="compatibilityMode" w:uri="http://schemas.microsoft.com/office/word" w:val="12"/>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szCs w:val="24"/>
        <w:lang w:val="en-US"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tabs>
        <w:tab w:val="clear" w:pos="720"/>
        <w:tab w:val="left" w:pos="432" w:leader="none"/>
        <w:tab w:val="left" w:pos="864" w:leader="none"/>
        <w:tab w:val="left" w:pos="1296" w:leader="none"/>
        <w:tab w:val="left" w:pos="1728" w:leader="none"/>
        <w:tab w:val="left" w:pos="2160" w:leader="none"/>
        <w:tab w:val="left" w:pos="2592" w:leader="none"/>
        <w:tab w:val="left" w:pos="3024" w:leader="none"/>
        <w:tab w:val="left" w:pos="3456" w:leader="none"/>
        <w:tab w:val="left" w:pos="3888" w:leader="none"/>
        <w:tab w:val="left" w:pos="4320" w:leader="none"/>
        <w:tab w:val="left" w:pos="4752" w:leader="none"/>
        <w:tab w:val="left" w:pos="5184" w:leader="none"/>
        <w:tab w:val="left" w:pos="5616" w:leader="none"/>
        <w:tab w:val="left" w:pos="6048" w:leader="none"/>
        <w:tab w:val="left" w:pos="6480" w:leader="none"/>
        <w:tab w:val="left" w:pos="6912" w:leader="none"/>
        <w:tab w:val="left" w:pos="7344" w:leader="none"/>
        <w:tab w:val="left" w:pos="7776" w:leader="none"/>
        <w:tab w:val="left" w:pos="8208" w:leader="none"/>
        <w:tab w:val="left" w:pos="8640" w:leader="none"/>
        <w:tab w:val="left" w:pos="9072" w:leader="none"/>
        <w:tab w:val="left" w:pos="9504" w:leader="none"/>
        <w:tab w:val="left" w:pos="9936" w:leader="none"/>
      </w:tabs>
      <w:suppressAutoHyphens w:val="true"/>
      <w:bidi w:val="0"/>
      <w:spacing w:lineRule="exact" w:line="240" w:before="0" w:after="240"/>
      <w:ind w:left="432" w:hanging="0"/>
      <w:jc w:val="left"/>
    </w:pPr>
    <w:rPr>
      <w:rFonts w:ascii="Courier New" w:hAnsi="Courier New" w:eastAsia="Batang;바탕" w:cs="Courier New"/>
      <w:color w:val="auto"/>
      <w:kern w:val="0"/>
      <w:sz w:val="24"/>
      <w:szCs w:val="24"/>
      <w:lang w:val="en-US" w:eastAsia="zh-CN" w:bidi="ar-SA"/>
    </w:rPr>
  </w:style>
  <w:style w:type="paragraph" w:styleId="Heading1">
    <w:name w:val="Heading 1"/>
    <w:basedOn w:val="Normal"/>
    <w:next w:val="Normal"/>
    <w:uiPriority w:val="9"/>
    <w:qFormat/>
    <w:pPr>
      <w:keepNext w:val="true"/>
      <w:numPr>
        <w:ilvl w:val="0"/>
        <w:numId w:val="1"/>
      </w:numPr>
      <w:outlineLvl w:val="0"/>
    </w:pPr>
    <w:rPr/>
  </w:style>
  <w:style w:type="paragraph" w:styleId="Heading2">
    <w:name w:val="Heading 2"/>
    <w:basedOn w:val="Normal"/>
    <w:next w:val="Normal"/>
    <w:uiPriority w:val="9"/>
    <w:unhideWhenUsed/>
    <w:qFormat/>
    <w:pPr>
      <w:keepNext w:val="true"/>
      <w:numPr>
        <w:ilvl w:val="1"/>
        <w:numId w:val="1"/>
      </w:numPr>
      <w:outlineLvl w:val="1"/>
    </w:pPr>
    <w:rPr>
      <w:rFonts w:cs="Arial"/>
      <w:bCs/>
      <w:iCs/>
      <w:szCs w:val="28"/>
    </w:rPr>
  </w:style>
  <w:style w:type="paragraph" w:styleId="Heading3">
    <w:name w:val="Heading 3"/>
    <w:basedOn w:val="Normal"/>
    <w:next w:val="Normal"/>
    <w:uiPriority w:val="9"/>
    <w:semiHidden/>
    <w:unhideWhenUsed/>
    <w:qFormat/>
    <w:pPr>
      <w:keepNext w:val="true"/>
      <w:numPr>
        <w:ilvl w:val="2"/>
        <w:numId w:val="1"/>
      </w:numPr>
      <w:outlineLvl w:val="2"/>
    </w:pPr>
    <w:rPr>
      <w:rFonts w:cs="Arial"/>
      <w:bCs/>
      <w:szCs w:val="26"/>
    </w:rPr>
  </w:style>
  <w:style w:type="paragraph" w:styleId="Heading4">
    <w:name w:val="Heading 4"/>
    <w:basedOn w:val="Normal"/>
    <w:next w:val="Normal"/>
    <w:uiPriority w:val="9"/>
    <w:semiHidden/>
    <w:unhideWhenUsed/>
    <w:qFormat/>
    <w:pPr>
      <w:keepNext w:val="true"/>
      <w:numPr>
        <w:ilvl w:val="3"/>
        <w:numId w:val="1"/>
      </w:numPr>
      <w:outlineLvl w:val="3"/>
    </w:pPr>
    <w:rPr>
      <w:bCs/>
      <w:szCs w:val="28"/>
    </w:rPr>
  </w:style>
  <w:style w:type="paragraph" w:styleId="Heading5">
    <w:name w:val="Heading 5"/>
    <w:basedOn w:val="Normal"/>
    <w:next w:val="Normal"/>
    <w:uiPriority w:val="9"/>
    <w:semiHidden/>
    <w:unhideWhenUsed/>
    <w:qFormat/>
    <w:pPr>
      <w:keepNext w:val="true"/>
      <w:numPr>
        <w:ilvl w:val="4"/>
        <w:numId w:val="1"/>
      </w:numPr>
      <w:outlineLvl w:val="4"/>
    </w:pPr>
    <w:rPr>
      <w:bCs/>
      <w:iCs/>
      <w:szCs w:val="26"/>
    </w:rPr>
  </w:style>
  <w:style w:type="paragraph" w:styleId="Heading6">
    <w:name w:val="Heading 6"/>
    <w:basedOn w:val="Normal"/>
    <w:next w:val="Normal"/>
    <w:uiPriority w:val="9"/>
    <w:semiHidden/>
    <w:unhideWhenUsed/>
    <w:qFormat/>
    <w:pPr>
      <w:keepNext w:val="true"/>
      <w:numPr>
        <w:ilvl w:val="5"/>
        <w:numId w:val="1"/>
      </w:numPr>
      <w:outlineLvl w:val="5"/>
    </w:pPr>
    <w:rPr>
      <w:bCs/>
      <w:szCs w:val="22"/>
    </w:rPr>
  </w:style>
  <w:style w:type="paragraph" w:styleId="Heading7">
    <w:name w:val="Heading 7"/>
    <w:basedOn w:val="Normal"/>
    <w:next w:val="Normal"/>
    <w:qFormat/>
    <w:pPr>
      <w:keepNext w:val="true"/>
      <w:numPr>
        <w:ilvl w:val="6"/>
        <w:numId w:val="1"/>
      </w:numPr>
      <w:outlineLvl w:val="6"/>
    </w:pPr>
    <w:rPr/>
  </w:style>
  <w:style w:type="paragraph" w:styleId="Heading8">
    <w:name w:val="Heading 8"/>
    <w:basedOn w:val="Normal"/>
    <w:next w:val="Normal"/>
    <w:qFormat/>
    <w:pPr>
      <w:keepNext w:val="true"/>
      <w:numPr>
        <w:ilvl w:val="7"/>
        <w:numId w:val="1"/>
      </w:numPr>
      <w:outlineLvl w:val="7"/>
    </w:pPr>
    <w:rPr>
      <w:iCs/>
    </w:rPr>
  </w:style>
  <w:style w:type="paragraph" w:styleId="Heading9">
    <w:name w:val="Heading 9"/>
    <w:basedOn w:val="Normal"/>
    <w:next w:val="Normal"/>
    <w:qFormat/>
    <w:pPr>
      <w:keepNext w:val="true"/>
      <w:numPr>
        <w:ilvl w:val="8"/>
        <w:numId w:val="1"/>
      </w:numPr>
      <w:outlineLvl w:val="8"/>
    </w:pPr>
    <w:rPr>
      <w:rFonts w:cs="Arial"/>
      <w:szCs w:val="22"/>
    </w:rPr>
  </w:style>
  <w:style w:type="character" w:styleId="DefaultParagraphFont" w:default="1">
    <w:name w:val="Default Paragraph Font"/>
    <w:uiPriority w:val="1"/>
    <w:semiHidden/>
    <w:unhideWhenUsed/>
    <w:qFormat/>
    <w:rPr/>
  </w:style>
  <w:style w:type="character" w:styleId="WW8Num1z0" w:customStyle="1">
    <w:name w:val="WW8Num1z0"/>
    <w:qFormat/>
    <w:rPr/>
  </w:style>
  <w:style w:type="character" w:styleId="WW8Num2z0" w:customStyle="1">
    <w:name w:val="WW8Num2z0"/>
    <w:qFormat/>
    <w:rPr/>
  </w:style>
  <w:style w:type="character" w:styleId="WW8Num3z0" w:customStyle="1">
    <w:name w:val="WW8Num3z0"/>
    <w:qFormat/>
    <w:rPr/>
  </w:style>
  <w:style w:type="character" w:styleId="WW8Num4z0" w:customStyle="1">
    <w:name w:val="WW8Num4z0"/>
    <w:qFormat/>
    <w:rPr/>
  </w:style>
  <w:style w:type="character" w:styleId="WW8Num5z0" w:customStyle="1">
    <w:name w:val="WW8Num5z0"/>
    <w:qFormat/>
    <w:rPr>
      <w:rFonts w:ascii="Symbol" w:hAnsi="Symbol" w:cs="Symbol"/>
    </w:rPr>
  </w:style>
  <w:style w:type="character" w:styleId="WW8Num6z0" w:customStyle="1">
    <w:name w:val="WW8Num6z0"/>
    <w:qFormat/>
    <w:rPr>
      <w:rFonts w:ascii="Symbol" w:hAnsi="Symbol" w:cs="Symbol"/>
    </w:rPr>
  </w:style>
  <w:style w:type="character" w:styleId="WW8Num7z0" w:customStyle="1">
    <w:name w:val="WW8Num7z0"/>
    <w:qFormat/>
    <w:rPr>
      <w:rFonts w:ascii="Symbol" w:hAnsi="Symbol" w:cs="Symbol"/>
    </w:rPr>
  </w:style>
  <w:style w:type="character" w:styleId="WW8Num8z0" w:customStyle="1">
    <w:name w:val="WW8Num8z0"/>
    <w:qFormat/>
    <w:rPr>
      <w:rFonts w:ascii="Symbol" w:hAnsi="Symbol" w:cs="Symbol"/>
    </w:rPr>
  </w:style>
  <w:style w:type="character" w:styleId="WW8Num9z0" w:customStyle="1">
    <w:name w:val="WW8Num9z0"/>
    <w:qFormat/>
    <w:rPr/>
  </w:style>
  <w:style w:type="character" w:styleId="WW8Num10z0" w:customStyle="1">
    <w:name w:val="WW8Num10z0"/>
    <w:qFormat/>
    <w:rPr>
      <w:rFonts w:ascii="Symbol" w:hAnsi="Symbol" w:cs="Symbol"/>
    </w:rPr>
  </w:style>
  <w:style w:type="character" w:styleId="WW8Num11z0" w:customStyle="1">
    <w:name w:val="WW8Num11z0"/>
    <w:qFormat/>
    <w:rPr/>
  </w:style>
  <w:style w:type="character" w:styleId="WW8Num11z1" w:customStyle="1">
    <w:name w:val="WW8Num11z1"/>
    <w:qFormat/>
    <w:rPr/>
  </w:style>
  <w:style w:type="character" w:styleId="WW8Num11z2" w:customStyle="1">
    <w:name w:val="WW8Num11z2"/>
    <w:qFormat/>
    <w:rPr/>
  </w:style>
  <w:style w:type="character" w:styleId="WW8Num11z3" w:customStyle="1">
    <w:name w:val="WW8Num11z3"/>
    <w:qFormat/>
    <w:rPr/>
  </w:style>
  <w:style w:type="character" w:styleId="WW8Num11z4" w:customStyle="1">
    <w:name w:val="WW8Num11z4"/>
    <w:qFormat/>
    <w:rPr/>
  </w:style>
  <w:style w:type="character" w:styleId="WW8Num11z5" w:customStyle="1">
    <w:name w:val="WW8Num11z5"/>
    <w:qFormat/>
    <w:rPr/>
  </w:style>
  <w:style w:type="character" w:styleId="WW8Num11z6" w:customStyle="1">
    <w:name w:val="WW8Num11z6"/>
    <w:qFormat/>
    <w:rPr/>
  </w:style>
  <w:style w:type="character" w:styleId="WW8Num11z7" w:customStyle="1">
    <w:name w:val="WW8Num11z7"/>
    <w:qFormat/>
    <w:rPr/>
  </w:style>
  <w:style w:type="character" w:styleId="WW8Num11z8" w:customStyle="1">
    <w:name w:val="WW8Num11z8"/>
    <w:qFormat/>
    <w:rPr/>
  </w:style>
  <w:style w:type="character" w:styleId="WW8Num12z0" w:customStyle="1">
    <w:name w:val="WW8Num12z0"/>
    <w:qFormat/>
    <w:rPr>
      <w:rFonts w:ascii="Courier New" w:hAnsi="Courier New" w:cs="Courier New"/>
    </w:rPr>
  </w:style>
  <w:style w:type="character" w:styleId="WW8Num12z2" w:customStyle="1">
    <w:name w:val="WW8Num12z2"/>
    <w:qFormat/>
    <w:rPr>
      <w:rFonts w:ascii="Wingdings" w:hAnsi="Wingdings" w:cs="Wingdings"/>
    </w:rPr>
  </w:style>
  <w:style w:type="character" w:styleId="WW8Num12z3" w:customStyle="1">
    <w:name w:val="WW8Num12z3"/>
    <w:qFormat/>
    <w:rPr>
      <w:rFonts w:ascii="Symbol" w:hAnsi="Symbol" w:cs="Symbol"/>
    </w:rPr>
  </w:style>
  <w:style w:type="character" w:styleId="WW8Num13z0" w:customStyle="1">
    <w:name w:val="WW8Num13z0"/>
    <w:qFormat/>
    <w:rPr>
      <w:rFonts w:ascii="Arial" w:hAnsi="Arial" w:cs="Arial"/>
      <w:bCs/>
      <w:sz w:val="24"/>
      <w:lang w:val="en-US" w:bidi="en-US"/>
    </w:rPr>
  </w:style>
  <w:style w:type="character" w:styleId="WW8Num13z1" w:customStyle="1">
    <w:name w:val="WW8Num13z1"/>
    <w:qFormat/>
    <w:rPr/>
  </w:style>
  <w:style w:type="character" w:styleId="WW8Num13z2" w:customStyle="1">
    <w:name w:val="WW8Num13z2"/>
    <w:qFormat/>
    <w:rPr/>
  </w:style>
  <w:style w:type="character" w:styleId="WW8Num13z3" w:customStyle="1">
    <w:name w:val="WW8Num13z3"/>
    <w:qFormat/>
    <w:rPr/>
  </w:style>
  <w:style w:type="character" w:styleId="WW8Num13z4" w:customStyle="1">
    <w:name w:val="WW8Num13z4"/>
    <w:qFormat/>
    <w:rPr/>
  </w:style>
  <w:style w:type="character" w:styleId="WW8Num13z5" w:customStyle="1">
    <w:name w:val="WW8Num13z5"/>
    <w:qFormat/>
    <w:rPr/>
  </w:style>
  <w:style w:type="character" w:styleId="WW8Num13z6" w:customStyle="1">
    <w:name w:val="WW8Num13z6"/>
    <w:qFormat/>
    <w:rPr/>
  </w:style>
  <w:style w:type="character" w:styleId="WW8Num13z7" w:customStyle="1">
    <w:name w:val="WW8Num13z7"/>
    <w:qFormat/>
    <w:rPr/>
  </w:style>
  <w:style w:type="character" w:styleId="WW8Num13z8" w:customStyle="1">
    <w:name w:val="WW8Num13z8"/>
    <w:qFormat/>
    <w:rPr/>
  </w:style>
  <w:style w:type="character" w:styleId="WW8Num14z0" w:customStyle="1">
    <w:name w:val="WW8Num14z0"/>
    <w:qFormat/>
    <w:rPr/>
  </w:style>
  <w:style w:type="character" w:styleId="WW8Num14z1" w:customStyle="1">
    <w:name w:val="WW8Num14z1"/>
    <w:qFormat/>
    <w:rPr/>
  </w:style>
  <w:style w:type="character" w:styleId="WW8Num14z2" w:customStyle="1">
    <w:name w:val="WW8Num14z2"/>
    <w:qFormat/>
    <w:rPr/>
  </w:style>
  <w:style w:type="character" w:styleId="WW8Num14z3" w:customStyle="1">
    <w:name w:val="WW8Num14z3"/>
    <w:qFormat/>
    <w:rPr/>
  </w:style>
  <w:style w:type="character" w:styleId="WW8Num14z4" w:customStyle="1">
    <w:name w:val="WW8Num14z4"/>
    <w:qFormat/>
    <w:rPr/>
  </w:style>
  <w:style w:type="character" w:styleId="WW8Num14z5" w:customStyle="1">
    <w:name w:val="WW8Num14z5"/>
    <w:qFormat/>
    <w:rPr/>
  </w:style>
  <w:style w:type="character" w:styleId="WW8Num14z6" w:customStyle="1">
    <w:name w:val="WW8Num14z6"/>
    <w:qFormat/>
    <w:rPr/>
  </w:style>
  <w:style w:type="character" w:styleId="WW8Num14z7" w:customStyle="1">
    <w:name w:val="WW8Num14z7"/>
    <w:qFormat/>
    <w:rPr/>
  </w:style>
  <w:style w:type="character" w:styleId="WW8Num14z8" w:customStyle="1">
    <w:name w:val="WW8Num14z8"/>
    <w:qFormat/>
    <w:rPr/>
  </w:style>
  <w:style w:type="character" w:styleId="WW8Num15z0" w:customStyle="1">
    <w:name w:val="WW8Num15z0"/>
    <w:qFormat/>
    <w:rPr>
      <w:rFonts w:ascii="Courier New" w:hAnsi="Courier New" w:cs="Courier New"/>
      <w:b w:val="false"/>
      <w:i w:val="false"/>
      <w:caps w:val="false"/>
      <w:smallCaps w:val="false"/>
      <w:strike w:val="false"/>
      <w:dstrike w:val="false"/>
      <w:outline w:val="false"/>
      <w:shadow w:val="false"/>
      <w:vanish w:val="false"/>
      <w:kern w:val="0"/>
      <w:position w:val="0"/>
      <w:sz w:val="24"/>
      <w:sz w:val="24"/>
      <w:szCs w:val="24"/>
      <w:vertAlign w:val="baseline"/>
    </w:rPr>
  </w:style>
  <w:style w:type="character" w:styleId="WW8Num15z1" w:customStyle="1">
    <w:name w:val="WW8Num15z1"/>
    <w:qFormat/>
    <w:rPr/>
  </w:style>
  <w:style w:type="character" w:styleId="WW8Num15z2" w:customStyle="1">
    <w:name w:val="WW8Num15z2"/>
    <w:qFormat/>
    <w:rPr/>
  </w:style>
  <w:style w:type="character" w:styleId="WW8Num15z3" w:customStyle="1">
    <w:name w:val="WW8Num15z3"/>
    <w:qFormat/>
    <w:rPr/>
  </w:style>
  <w:style w:type="character" w:styleId="WW8Num15z4" w:customStyle="1">
    <w:name w:val="WW8Num15z4"/>
    <w:qFormat/>
    <w:rPr/>
  </w:style>
  <w:style w:type="character" w:styleId="WW8Num15z5" w:customStyle="1">
    <w:name w:val="WW8Num15z5"/>
    <w:qFormat/>
    <w:rPr/>
  </w:style>
  <w:style w:type="character" w:styleId="WW8Num15z6" w:customStyle="1">
    <w:name w:val="WW8Num15z6"/>
    <w:qFormat/>
    <w:rPr/>
  </w:style>
  <w:style w:type="character" w:styleId="WW8Num15z7" w:customStyle="1">
    <w:name w:val="WW8Num15z7"/>
    <w:qFormat/>
    <w:rPr/>
  </w:style>
  <w:style w:type="character" w:styleId="WW8Num15z8" w:customStyle="1">
    <w:name w:val="WW8Num15z8"/>
    <w:qFormat/>
    <w:rPr/>
  </w:style>
  <w:style w:type="character" w:styleId="WW8Num16z0" w:customStyle="1">
    <w:name w:val="WW8Num16z0"/>
    <w:qFormat/>
    <w:rPr>
      <w:rFonts w:ascii="Arial" w:hAnsi="Arial" w:cs="Arial"/>
      <w:bCs/>
      <w:sz w:val="24"/>
      <w:szCs w:val="24"/>
      <w:lang w:val="en-US" w:bidi="en-US"/>
    </w:rPr>
  </w:style>
  <w:style w:type="character" w:styleId="WW8Num16z1" w:customStyle="1">
    <w:name w:val="WW8Num16z1"/>
    <w:qFormat/>
    <w:rPr/>
  </w:style>
  <w:style w:type="character" w:styleId="WW8Num17z0" w:customStyle="1">
    <w:name w:val="WW8Num17z0"/>
    <w:qFormat/>
    <w:rPr/>
  </w:style>
  <w:style w:type="character" w:styleId="WW8Num18z0" w:customStyle="1">
    <w:name w:val="WW8Num18z0"/>
    <w:qFormat/>
    <w:rPr>
      <w:rFonts w:ascii="Courier New" w:hAnsi="Courier New" w:cs="Courier New"/>
      <w:b w:val="false"/>
      <w:bCs/>
      <w:i w:val="false"/>
      <w:caps w:val="false"/>
      <w:smallCaps w:val="false"/>
      <w:strike w:val="false"/>
      <w:dstrike w:val="false"/>
      <w:outline w:val="false"/>
      <w:shadow w:val="false"/>
      <w:vanish w:val="false"/>
      <w:kern w:val="0"/>
      <w:position w:val="0"/>
      <w:sz w:val="24"/>
      <w:sz w:val="24"/>
      <w:szCs w:val="24"/>
      <w:vertAlign w:val="baseline"/>
      <w:lang w:val="en-US" w:bidi="en-US"/>
    </w:rPr>
  </w:style>
  <w:style w:type="character" w:styleId="WW8Num18z1" w:customStyle="1">
    <w:name w:val="WW8Num18z1"/>
    <w:qFormat/>
    <w:rPr/>
  </w:style>
  <w:style w:type="character" w:styleId="WW8Num18z2" w:customStyle="1">
    <w:name w:val="WW8Num18z2"/>
    <w:qFormat/>
    <w:rPr/>
  </w:style>
  <w:style w:type="character" w:styleId="WW8Num18z3" w:customStyle="1">
    <w:name w:val="WW8Num18z3"/>
    <w:qFormat/>
    <w:rPr/>
  </w:style>
  <w:style w:type="character" w:styleId="WW8Num18z4" w:customStyle="1">
    <w:name w:val="WW8Num18z4"/>
    <w:qFormat/>
    <w:rPr/>
  </w:style>
  <w:style w:type="character" w:styleId="WW8Num18z5" w:customStyle="1">
    <w:name w:val="WW8Num18z5"/>
    <w:qFormat/>
    <w:rPr/>
  </w:style>
  <w:style w:type="character" w:styleId="WW8Num18z6" w:customStyle="1">
    <w:name w:val="WW8Num18z6"/>
    <w:qFormat/>
    <w:rPr/>
  </w:style>
  <w:style w:type="character" w:styleId="WW8Num18z7" w:customStyle="1">
    <w:name w:val="WW8Num18z7"/>
    <w:qFormat/>
    <w:rPr/>
  </w:style>
  <w:style w:type="character" w:styleId="WW8Num18z8" w:customStyle="1">
    <w:name w:val="WW8Num18z8"/>
    <w:qFormat/>
    <w:rPr/>
  </w:style>
  <w:style w:type="character" w:styleId="WW8Num19z0" w:customStyle="1">
    <w:name w:val="WW8Num19z0"/>
    <w:qFormat/>
    <w:rPr/>
  </w:style>
  <w:style w:type="character" w:styleId="WW8Num19z1" w:customStyle="1">
    <w:name w:val="WW8Num19z1"/>
    <w:qFormat/>
    <w:rPr/>
  </w:style>
  <w:style w:type="character" w:styleId="WW8Num19z2" w:customStyle="1">
    <w:name w:val="WW8Num19z2"/>
    <w:qFormat/>
    <w:rPr/>
  </w:style>
  <w:style w:type="character" w:styleId="WW8Num19z3" w:customStyle="1">
    <w:name w:val="WW8Num19z3"/>
    <w:qFormat/>
    <w:rPr/>
  </w:style>
  <w:style w:type="character" w:styleId="WW8Num19z4" w:customStyle="1">
    <w:name w:val="WW8Num19z4"/>
    <w:qFormat/>
    <w:rPr/>
  </w:style>
  <w:style w:type="character" w:styleId="WW8Num19z5" w:customStyle="1">
    <w:name w:val="WW8Num19z5"/>
    <w:qFormat/>
    <w:rPr/>
  </w:style>
  <w:style w:type="character" w:styleId="WW8Num19z6" w:customStyle="1">
    <w:name w:val="WW8Num19z6"/>
    <w:qFormat/>
    <w:rPr/>
  </w:style>
  <w:style w:type="character" w:styleId="WW8Num19z7" w:customStyle="1">
    <w:name w:val="WW8Num19z7"/>
    <w:qFormat/>
    <w:rPr/>
  </w:style>
  <w:style w:type="character" w:styleId="WW8Num19z8" w:customStyle="1">
    <w:name w:val="WW8Num19z8"/>
    <w:qFormat/>
    <w:rPr/>
  </w:style>
  <w:style w:type="character" w:styleId="WW8Num20z0" w:customStyle="1">
    <w:name w:val="WW8Num20z0"/>
    <w:qFormat/>
    <w:rPr/>
  </w:style>
  <w:style w:type="character" w:styleId="WW8Num20z1" w:customStyle="1">
    <w:name w:val="WW8Num20z1"/>
    <w:qFormat/>
    <w:rPr/>
  </w:style>
  <w:style w:type="character" w:styleId="WW8Num20z2" w:customStyle="1">
    <w:name w:val="WW8Num20z2"/>
    <w:qFormat/>
    <w:rPr/>
  </w:style>
  <w:style w:type="character" w:styleId="WW8Num20z3" w:customStyle="1">
    <w:name w:val="WW8Num20z3"/>
    <w:qFormat/>
    <w:rPr/>
  </w:style>
  <w:style w:type="character" w:styleId="WW8Num20z4" w:customStyle="1">
    <w:name w:val="WW8Num20z4"/>
    <w:qFormat/>
    <w:rPr/>
  </w:style>
  <w:style w:type="character" w:styleId="WW8Num20z5" w:customStyle="1">
    <w:name w:val="WW8Num20z5"/>
    <w:qFormat/>
    <w:rPr/>
  </w:style>
  <w:style w:type="character" w:styleId="WW8Num20z6" w:customStyle="1">
    <w:name w:val="WW8Num20z6"/>
    <w:qFormat/>
    <w:rPr/>
  </w:style>
  <w:style w:type="character" w:styleId="WW8Num20z7" w:customStyle="1">
    <w:name w:val="WW8Num20z7"/>
    <w:qFormat/>
    <w:rPr/>
  </w:style>
  <w:style w:type="character" w:styleId="WW8Num20z8" w:customStyle="1">
    <w:name w:val="WW8Num20z8"/>
    <w:qFormat/>
    <w:rPr/>
  </w:style>
  <w:style w:type="character" w:styleId="WW8Num21z0" w:customStyle="1">
    <w:name w:val="WW8Num21z0"/>
    <w:qFormat/>
    <w:rPr/>
  </w:style>
  <w:style w:type="character" w:styleId="WW8Num22z0" w:customStyle="1">
    <w:name w:val="WW8Num22z0"/>
    <w:qFormat/>
    <w:rPr/>
  </w:style>
  <w:style w:type="character" w:styleId="WW8Num22z1" w:customStyle="1">
    <w:name w:val="WW8Num22z1"/>
    <w:qFormat/>
    <w:rPr/>
  </w:style>
  <w:style w:type="character" w:styleId="WW8Num22z2" w:customStyle="1">
    <w:name w:val="WW8Num22z2"/>
    <w:qFormat/>
    <w:rPr/>
  </w:style>
  <w:style w:type="character" w:styleId="WW8Num22z3" w:customStyle="1">
    <w:name w:val="WW8Num22z3"/>
    <w:qFormat/>
    <w:rPr/>
  </w:style>
  <w:style w:type="character" w:styleId="WW8Num22z4" w:customStyle="1">
    <w:name w:val="WW8Num22z4"/>
    <w:qFormat/>
    <w:rPr/>
  </w:style>
  <w:style w:type="character" w:styleId="WW8Num22z5" w:customStyle="1">
    <w:name w:val="WW8Num22z5"/>
    <w:qFormat/>
    <w:rPr/>
  </w:style>
  <w:style w:type="character" w:styleId="WW8Num22z6" w:customStyle="1">
    <w:name w:val="WW8Num22z6"/>
    <w:qFormat/>
    <w:rPr/>
  </w:style>
  <w:style w:type="character" w:styleId="WW8Num22z7" w:customStyle="1">
    <w:name w:val="WW8Num22z7"/>
    <w:qFormat/>
    <w:rPr/>
  </w:style>
  <w:style w:type="character" w:styleId="WW8Num22z8" w:customStyle="1">
    <w:name w:val="WW8Num22z8"/>
    <w:qFormat/>
    <w:rPr/>
  </w:style>
  <w:style w:type="character" w:styleId="WW8Num23z0" w:customStyle="1">
    <w:name w:val="WW8Num23z0"/>
    <w:qFormat/>
    <w:rPr/>
  </w:style>
  <w:style w:type="character" w:styleId="WW8Num23z1" w:customStyle="1">
    <w:name w:val="WW8Num23z1"/>
    <w:qFormat/>
    <w:rPr/>
  </w:style>
  <w:style w:type="character" w:styleId="WW8Num23z2" w:customStyle="1">
    <w:name w:val="WW8Num23z2"/>
    <w:qFormat/>
    <w:rPr/>
  </w:style>
  <w:style w:type="character" w:styleId="WW8Num23z3" w:customStyle="1">
    <w:name w:val="WW8Num23z3"/>
    <w:qFormat/>
    <w:rPr/>
  </w:style>
  <w:style w:type="character" w:styleId="WW8Num23z4" w:customStyle="1">
    <w:name w:val="WW8Num23z4"/>
    <w:qFormat/>
    <w:rPr/>
  </w:style>
  <w:style w:type="character" w:styleId="WW8Num23z5" w:customStyle="1">
    <w:name w:val="WW8Num23z5"/>
    <w:qFormat/>
    <w:rPr/>
  </w:style>
  <w:style w:type="character" w:styleId="WW8Num23z6" w:customStyle="1">
    <w:name w:val="WW8Num23z6"/>
    <w:qFormat/>
    <w:rPr/>
  </w:style>
  <w:style w:type="character" w:styleId="WW8Num23z7" w:customStyle="1">
    <w:name w:val="WW8Num23z7"/>
    <w:qFormat/>
    <w:rPr/>
  </w:style>
  <w:style w:type="character" w:styleId="WW8Num23z8" w:customStyle="1">
    <w:name w:val="WW8Num23z8"/>
    <w:qFormat/>
    <w:rPr/>
  </w:style>
  <w:style w:type="character" w:styleId="WW8Num24z0" w:customStyle="1">
    <w:name w:val="WW8Num24z0"/>
    <w:qFormat/>
    <w:rPr/>
  </w:style>
  <w:style w:type="character" w:styleId="WW8Num24z1" w:customStyle="1">
    <w:name w:val="WW8Num24z1"/>
    <w:qFormat/>
    <w:rPr/>
  </w:style>
  <w:style w:type="character" w:styleId="WW8Num24z2" w:customStyle="1">
    <w:name w:val="WW8Num24z2"/>
    <w:qFormat/>
    <w:rPr/>
  </w:style>
  <w:style w:type="character" w:styleId="WW8Num24z3" w:customStyle="1">
    <w:name w:val="WW8Num24z3"/>
    <w:qFormat/>
    <w:rPr/>
  </w:style>
  <w:style w:type="character" w:styleId="WW8Num24z4" w:customStyle="1">
    <w:name w:val="WW8Num24z4"/>
    <w:qFormat/>
    <w:rPr/>
  </w:style>
  <w:style w:type="character" w:styleId="WW8Num24z5" w:customStyle="1">
    <w:name w:val="WW8Num24z5"/>
    <w:qFormat/>
    <w:rPr/>
  </w:style>
  <w:style w:type="character" w:styleId="WW8Num24z6" w:customStyle="1">
    <w:name w:val="WW8Num24z6"/>
    <w:qFormat/>
    <w:rPr/>
  </w:style>
  <w:style w:type="character" w:styleId="WW8Num24z7" w:customStyle="1">
    <w:name w:val="WW8Num24z7"/>
    <w:qFormat/>
    <w:rPr/>
  </w:style>
  <w:style w:type="character" w:styleId="WW8Num24z8" w:customStyle="1">
    <w:name w:val="WW8Num24z8"/>
    <w:qFormat/>
    <w:rPr/>
  </w:style>
  <w:style w:type="character" w:styleId="WW8Num25z0" w:customStyle="1">
    <w:name w:val="WW8Num25z0"/>
    <w:qFormat/>
    <w:rPr>
      <w:rFonts w:ascii="Courier New" w:hAnsi="Courier New" w:cs="Courier New"/>
      <w:b w:val="false"/>
      <w:i w:val="false"/>
      <w:caps w:val="false"/>
      <w:smallCaps w:val="false"/>
      <w:strike w:val="false"/>
      <w:dstrike w:val="false"/>
      <w:outline w:val="false"/>
      <w:shadow w:val="false"/>
      <w:vanish w:val="false"/>
      <w:kern w:val="0"/>
      <w:position w:val="0"/>
      <w:sz w:val="24"/>
      <w:sz w:val="24"/>
      <w:szCs w:val="24"/>
      <w:vertAlign w:val="baseline"/>
    </w:rPr>
  </w:style>
  <w:style w:type="character" w:styleId="WW8Num25z1" w:customStyle="1">
    <w:name w:val="WW8Num25z1"/>
    <w:qFormat/>
    <w:rPr/>
  </w:style>
  <w:style w:type="character" w:styleId="WW8Num25z2" w:customStyle="1">
    <w:name w:val="WW8Num25z2"/>
    <w:qFormat/>
    <w:rPr/>
  </w:style>
  <w:style w:type="character" w:styleId="WW8Num25z3" w:customStyle="1">
    <w:name w:val="WW8Num25z3"/>
    <w:qFormat/>
    <w:rPr/>
  </w:style>
  <w:style w:type="character" w:styleId="WW8Num25z4" w:customStyle="1">
    <w:name w:val="WW8Num25z4"/>
    <w:qFormat/>
    <w:rPr/>
  </w:style>
  <w:style w:type="character" w:styleId="WW8Num25z5" w:customStyle="1">
    <w:name w:val="WW8Num25z5"/>
    <w:qFormat/>
    <w:rPr/>
  </w:style>
  <w:style w:type="character" w:styleId="WW8Num25z6" w:customStyle="1">
    <w:name w:val="WW8Num25z6"/>
    <w:qFormat/>
    <w:rPr/>
  </w:style>
  <w:style w:type="character" w:styleId="WW8Num25z7" w:customStyle="1">
    <w:name w:val="WW8Num25z7"/>
    <w:qFormat/>
    <w:rPr/>
  </w:style>
  <w:style w:type="character" w:styleId="WW8Num25z8" w:customStyle="1">
    <w:name w:val="WW8Num25z8"/>
    <w:qFormat/>
    <w:rPr/>
  </w:style>
  <w:style w:type="character" w:styleId="WW8Num26z0" w:customStyle="1">
    <w:name w:val="WW8Num26z0"/>
    <w:qFormat/>
    <w:rPr>
      <w:rFonts w:ascii="Arial" w:hAnsi="Arial" w:cs="Arial"/>
      <w:bCs/>
      <w:sz w:val="24"/>
      <w:lang w:val="en-US" w:bidi="en-US"/>
    </w:rPr>
  </w:style>
  <w:style w:type="character" w:styleId="WW8Num26z1" w:customStyle="1">
    <w:name w:val="WW8Num26z1"/>
    <w:qFormat/>
    <w:rPr/>
  </w:style>
  <w:style w:type="character" w:styleId="WW8Num26z2" w:customStyle="1">
    <w:name w:val="WW8Num26z2"/>
    <w:qFormat/>
    <w:rPr/>
  </w:style>
  <w:style w:type="character" w:styleId="WW8Num26z3" w:customStyle="1">
    <w:name w:val="WW8Num26z3"/>
    <w:qFormat/>
    <w:rPr/>
  </w:style>
  <w:style w:type="character" w:styleId="WW8Num26z4" w:customStyle="1">
    <w:name w:val="WW8Num26z4"/>
    <w:qFormat/>
    <w:rPr/>
  </w:style>
  <w:style w:type="character" w:styleId="WW8Num26z5" w:customStyle="1">
    <w:name w:val="WW8Num26z5"/>
    <w:qFormat/>
    <w:rPr/>
  </w:style>
  <w:style w:type="character" w:styleId="WW8Num26z6" w:customStyle="1">
    <w:name w:val="WW8Num26z6"/>
    <w:qFormat/>
    <w:rPr/>
  </w:style>
  <w:style w:type="character" w:styleId="WW8Num26z7" w:customStyle="1">
    <w:name w:val="WW8Num26z7"/>
    <w:qFormat/>
    <w:rPr/>
  </w:style>
  <w:style w:type="character" w:styleId="WW8Num26z8" w:customStyle="1">
    <w:name w:val="WW8Num26z8"/>
    <w:qFormat/>
    <w:rPr/>
  </w:style>
  <w:style w:type="character" w:styleId="WW8Num27z0" w:customStyle="1">
    <w:name w:val="WW8Num27z0"/>
    <w:qFormat/>
    <w:rPr/>
  </w:style>
  <w:style w:type="character" w:styleId="WW8Num27z1" w:customStyle="1">
    <w:name w:val="WW8Num27z1"/>
    <w:qFormat/>
    <w:rPr/>
  </w:style>
  <w:style w:type="character" w:styleId="WW8Num27z2" w:customStyle="1">
    <w:name w:val="WW8Num27z2"/>
    <w:qFormat/>
    <w:rPr/>
  </w:style>
  <w:style w:type="character" w:styleId="WW8Num27z3" w:customStyle="1">
    <w:name w:val="WW8Num27z3"/>
    <w:qFormat/>
    <w:rPr/>
  </w:style>
  <w:style w:type="character" w:styleId="WW8Num27z4" w:customStyle="1">
    <w:name w:val="WW8Num27z4"/>
    <w:qFormat/>
    <w:rPr/>
  </w:style>
  <w:style w:type="character" w:styleId="WW8Num27z5" w:customStyle="1">
    <w:name w:val="WW8Num27z5"/>
    <w:qFormat/>
    <w:rPr/>
  </w:style>
  <w:style w:type="character" w:styleId="WW8Num27z6" w:customStyle="1">
    <w:name w:val="WW8Num27z6"/>
    <w:qFormat/>
    <w:rPr/>
  </w:style>
  <w:style w:type="character" w:styleId="WW8Num27z7" w:customStyle="1">
    <w:name w:val="WW8Num27z7"/>
    <w:qFormat/>
    <w:rPr/>
  </w:style>
  <w:style w:type="character" w:styleId="WW8Num27z8" w:customStyle="1">
    <w:name w:val="WW8Num27z8"/>
    <w:qFormat/>
    <w:rPr/>
  </w:style>
  <w:style w:type="character" w:styleId="WW8Num28z0" w:customStyle="1">
    <w:name w:val="WW8Num28z0"/>
    <w:qFormat/>
    <w:rPr>
      <w:rFonts w:ascii="Courier New" w:hAnsi="Courier New" w:cs="Courier New"/>
      <w:b w:val="false"/>
      <w:bCs/>
      <w:i w:val="false"/>
      <w:caps w:val="false"/>
      <w:smallCaps w:val="false"/>
      <w:strike w:val="false"/>
      <w:dstrike w:val="false"/>
      <w:outline w:val="false"/>
      <w:shadow w:val="false"/>
      <w:vanish w:val="false"/>
      <w:kern w:val="0"/>
      <w:position w:val="0"/>
      <w:sz w:val="24"/>
      <w:sz w:val="24"/>
      <w:szCs w:val="24"/>
      <w:vertAlign w:val="baseline"/>
      <w:lang w:val="en-US" w:bidi="en-US"/>
    </w:rPr>
  </w:style>
  <w:style w:type="character" w:styleId="WW8Num28z1" w:customStyle="1">
    <w:name w:val="WW8Num28z1"/>
    <w:qFormat/>
    <w:rPr/>
  </w:style>
  <w:style w:type="character" w:styleId="WW8Num28z2" w:customStyle="1">
    <w:name w:val="WW8Num28z2"/>
    <w:qFormat/>
    <w:rPr/>
  </w:style>
  <w:style w:type="character" w:styleId="WW8Num28z3" w:customStyle="1">
    <w:name w:val="WW8Num28z3"/>
    <w:qFormat/>
    <w:rPr/>
  </w:style>
  <w:style w:type="character" w:styleId="WW8Num28z4" w:customStyle="1">
    <w:name w:val="WW8Num28z4"/>
    <w:qFormat/>
    <w:rPr/>
  </w:style>
  <w:style w:type="character" w:styleId="WW8Num28z5" w:customStyle="1">
    <w:name w:val="WW8Num28z5"/>
    <w:qFormat/>
    <w:rPr/>
  </w:style>
  <w:style w:type="character" w:styleId="WW8Num28z6" w:customStyle="1">
    <w:name w:val="WW8Num28z6"/>
    <w:qFormat/>
    <w:rPr/>
  </w:style>
  <w:style w:type="character" w:styleId="WW8Num28z7" w:customStyle="1">
    <w:name w:val="WW8Num28z7"/>
    <w:qFormat/>
    <w:rPr/>
  </w:style>
  <w:style w:type="character" w:styleId="WW8Num28z8" w:customStyle="1">
    <w:name w:val="WW8Num28z8"/>
    <w:qFormat/>
    <w:rPr/>
  </w:style>
  <w:style w:type="character" w:styleId="WW8Num29z0" w:customStyle="1">
    <w:name w:val="WW8Num29z0"/>
    <w:qFormat/>
    <w:rPr>
      <w:rFonts w:ascii="Courier New" w:hAnsi="Courier New" w:cs="Courier New"/>
      <w:b w:val="false"/>
      <w:i w:val="false"/>
      <w:caps w:val="false"/>
      <w:smallCaps w:val="false"/>
      <w:strike w:val="false"/>
      <w:dstrike w:val="false"/>
      <w:outline w:val="false"/>
      <w:shadow w:val="false"/>
      <w:vanish w:val="false"/>
      <w:kern w:val="0"/>
      <w:position w:val="0"/>
      <w:sz w:val="24"/>
      <w:sz w:val="24"/>
      <w:szCs w:val="24"/>
      <w:vertAlign w:val="baseline"/>
    </w:rPr>
  </w:style>
  <w:style w:type="character" w:styleId="WW8Num29z1" w:customStyle="1">
    <w:name w:val="WW8Num29z1"/>
    <w:qFormat/>
    <w:rPr/>
  </w:style>
  <w:style w:type="character" w:styleId="WW8Num29z2" w:customStyle="1">
    <w:name w:val="WW8Num29z2"/>
    <w:qFormat/>
    <w:rPr/>
  </w:style>
  <w:style w:type="character" w:styleId="WW8Num29z3" w:customStyle="1">
    <w:name w:val="WW8Num29z3"/>
    <w:qFormat/>
    <w:rPr/>
  </w:style>
  <w:style w:type="character" w:styleId="WW8Num29z4" w:customStyle="1">
    <w:name w:val="WW8Num29z4"/>
    <w:qFormat/>
    <w:rPr/>
  </w:style>
  <w:style w:type="character" w:styleId="WW8Num29z5" w:customStyle="1">
    <w:name w:val="WW8Num29z5"/>
    <w:qFormat/>
    <w:rPr/>
  </w:style>
  <w:style w:type="character" w:styleId="WW8Num29z6" w:customStyle="1">
    <w:name w:val="WW8Num29z6"/>
    <w:qFormat/>
    <w:rPr/>
  </w:style>
  <w:style w:type="character" w:styleId="WW8Num29z7" w:customStyle="1">
    <w:name w:val="WW8Num29z7"/>
    <w:qFormat/>
    <w:rPr/>
  </w:style>
  <w:style w:type="character" w:styleId="WW8Num29z8" w:customStyle="1">
    <w:name w:val="WW8Num29z8"/>
    <w:qFormat/>
    <w:rPr/>
  </w:style>
  <w:style w:type="character" w:styleId="EndnoteCharacters" w:customStyle="1">
    <w:name w:val="Endnote Characters"/>
    <w:qFormat/>
    <w:rPr>
      <w:position w:val="0"/>
      <w:sz w:val="24"/>
      <w:sz w:val="24"/>
      <w:vertAlign w:val="baseline"/>
    </w:rPr>
  </w:style>
  <w:style w:type="character" w:styleId="FootnoteCharacters" w:customStyle="1">
    <w:name w:val="Footnote Characters"/>
    <w:qFormat/>
    <w:rPr>
      <w:vertAlign w:val="superscript"/>
    </w:rPr>
  </w:style>
  <w:style w:type="character" w:styleId="Emphasis">
    <w:name w:val="Emphasis"/>
    <w:qFormat/>
    <w:rPr>
      <w:i/>
      <w:iCs/>
    </w:rPr>
  </w:style>
  <w:style w:type="character" w:styleId="VisitedInternetLink">
    <w:name w:val="FollowedHyperlink"/>
    <w:rPr>
      <w:color w:val="800080"/>
      <w:u w:val="single"/>
    </w:rPr>
  </w:style>
  <w:style w:type="character" w:styleId="HTMLAcronym">
    <w:name w:val="HTML Acronym"/>
    <w:basedOn w:val="DefaultParagraphFont"/>
    <w:qFormat/>
    <w:rPr/>
  </w:style>
  <w:style w:type="character" w:styleId="HTMLCite">
    <w:name w:val="HTML Cite"/>
    <w:qFormat/>
    <w:rPr>
      <w:i/>
      <w:iCs/>
    </w:rPr>
  </w:style>
  <w:style w:type="character" w:styleId="HTMLCode">
    <w:name w:val="HTML Code"/>
    <w:qFormat/>
    <w:rPr>
      <w:rFonts w:ascii="Courier New" w:hAnsi="Courier New" w:cs="Courier New"/>
      <w:sz w:val="20"/>
      <w:szCs w:val="20"/>
    </w:rPr>
  </w:style>
  <w:style w:type="character" w:styleId="HTMLDefinition">
    <w:name w:val="HTML Definition"/>
    <w:qFormat/>
    <w:rPr>
      <w:i/>
      <w:iCs/>
    </w:rPr>
  </w:style>
  <w:style w:type="character" w:styleId="HTMLKeyboard">
    <w:name w:val="HTML Keyboard"/>
    <w:qFormat/>
    <w:rPr>
      <w:rFonts w:ascii="Courier New" w:hAnsi="Courier New" w:cs="Courier New"/>
      <w:sz w:val="20"/>
      <w:szCs w:val="20"/>
    </w:rPr>
  </w:style>
  <w:style w:type="character" w:styleId="HTMLSample">
    <w:name w:val="HTML Sample"/>
    <w:qFormat/>
    <w:rPr>
      <w:rFonts w:ascii="Courier New" w:hAnsi="Courier New" w:cs="Courier New"/>
    </w:rPr>
  </w:style>
  <w:style w:type="character" w:styleId="HTMLTypewriter">
    <w:name w:val="HTML Typewriter"/>
    <w:qFormat/>
    <w:rPr>
      <w:rFonts w:ascii="Courier New" w:hAnsi="Courier New" w:cs="Courier New"/>
      <w:sz w:val="20"/>
      <w:szCs w:val="20"/>
    </w:rPr>
  </w:style>
  <w:style w:type="character" w:styleId="HTMLVariable">
    <w:name w:val="HTML Variable"/>
    <w:qFormat/>
    <w:rPr>
      <w:i/>
      <w:iCs/>
    </w:rPr>
  </w:style>
  <w:style w:type="character" w:styleId="InternetLink">
    <w:name w:val="Hyperlink"/>
    <w:rPr>
      <w:color w:val="0000FF"/>
      <w:u w:val="single"/>
    </w:rPr>
  </w:style>
  <w:style w:type="character" w:styleId="LineNumbering" w:customStyle="1">
    <w:name w:val="Line Numbering"/>
    <w:basedOn w:val="DefaultParagraphFont"/>
    <w:rPr/>
  </w:style>
  <w:style w:type="character" w:styleId="Pagenumber">
    <w:name w:val="page number"/>
    <w:basedOn w:val="DefaultParagraphFont"/>
    <w:qFormat/>
    <w:rPr/>
  </w:style>
  <w:style w:type="character" w:styleId="StrongEmphasis" w:customStyle="1">
    <w:name w:val="Strong Emphasis"/>
    <w:qFormat/>
    <w:rPr>
      <w:b/>
      <w:bCs/>
    </w:rPr>
  </w:style>
  <w:style w:type="character" w:styleId="BalloonTextChar" w:customStyle="1">
    <w:name w:val="Balloon Text Char"/>
    <w:qFormat/>
    <w:rPr>
      <w:rFonts w:ascii="Tahoma" w:hAnsi="Tahoma" w:eastAsia="Batang;바탕" w:cs="Tahoma"/>
      <w:sz w:val="16"/>
      <w:szCs w:val="16"/>
    </w:rPr>
  </w:style>
  <w:style w:type="character" w:styleId="IndexLink" w:customStyle="1">
    <w:name w:val="Index Link"/>
    <w:qFormat/>
    <w:rPr/>
  </w:style>
  <w:style w:type="character" w:styleId="NumberingSymbols" w:customStyle="1">
    <w:name w:val="Numbering Symbols"/>
    <w:qFormat/>
    <w:rPr/>
  </w:style>
  <w:style w:type="paragraph" w:styleId="Heading" w:customStyle="1">
    <w:name w:val="Heading"/>
    <w:basedOn w:val="Normal"/>
    <w:next w:val="TextBody"/>
    <w:qFormat/>
    <w:pPr>
      <w:spacing w:before="240" w:after="60"/>
      <w:jc w:val="center"/>
      <w:outlineLvl w:val="0"/>
    </w:pPr>
    <w:rPr>
      <w:rFonts w:ascii="Arial" w:hAnsi="Arial" w:cs="Arial"/>
      <w:b/>
      <w:bCs/>
      <w:kern w:val="2"/>
      <w:sz w:val="32"/>
      <w:szCs w:val="32"/>
    </w:rPr>
  </w:style>
  <w:style w:type="paragraph" w:styleId="TextBody">
    <w:name w:val="Body Text"/>
    <w:basedOn w:val="Normal"/>
    <w:pPr>
      <w:spacing w:before="0" w:after="120"/>
    </w:pPr>
    <w:rPr/>
  </w:style>
  <w:style w:type="paragraph" w:styleId="List">
    <w:name w:val="List"/>
    <w:basedOn w:val="Normal"/>
    <w:pPr>
      <w:ind w:left="360" w:hanging="360"/>
    </w:pPr>
    <w:rPr/>
  </w:style>
  <w:style w:type="paragraph" w:styleId="Caption">
    <w:name w:val="Caption"/>
    <w:basedOn w:val="Normal"/>
    <w:qFormat/>
    <w:pPr>
      <w:suppressLineNumbers/>
      <w:spacing w:before="120" w:after="120"/>
    </w:pPr>
    <w:rPr>
      <w:rFonts w:cs="Lucida Sans"/>
      <w:i/>
      <w:iCs/>
      <w:sz w:val="24"/>
      <w:szCs w:val="24"/>
    </w:rPr>
  </w:style>
  <w:style w:type="paragraph" w:styleId="Index" w:customStyle="1">
    <w:name w:val="Index"/>
    <w:basedOn w:val="Normal"/>
    <w:qFormat/>
    <w:pPr>
      <w:suppressLineNumbers/>
    </w:pPr>
    <w:rPr>
      <w:rFonts w:cs="Noto Sans Devanagari"/>
    </w:rPr>
  </w:style>
  <w:style w:type="paragraph" w:styleId="Caption1">
    <w:name w:val="caption"/>
    <w:basedOn w:val="Normal"/>
    <w:next w:val="Normal"/>
    <w:qFormat/>
    <w:pPr>
      <w:jc w:val="center"/>
    </w:pPr>
    <w:rPr>
      <w:bCs/>
      <w:szCs w:val="20"/>
    </w:rPr>
  </w:style>
  <w:style w:type="paragraph" w:styleId="HeaderandFooter" w:customStyle="1">
    <w:name w:val="Header and Footer"/>
    <w:basedOn w:val="Normal"/>
    <w:qFormat/>
    <w:pPr>
      <w:suppressLineNumbers/>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center" w:pos="4986" w:leader="none"/>
        <w:tab w:val="right" w:pos="9972" w:leader="none"/>
      </w:tabs>
    </w:pPr>
    <w:rPr/>
  </w:style>
  <w:style w:type="paragraph" w:styleId="Header">
    <w:name w:val="Header"/>
    <w:basedOn w:val="Normal"/>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center" w:pos="5040" w:leader="none"/>
        <w:tab w:val="right" w:pos="10320" w:leader="none"/>
      </w:tabs>
      <w:spacing w:before="0" w:after="0"/>
      <w:ind w:left="0" w:hanging="0"/>
    </w:pPr>
    <w:rPr/>
  </w:style>
  <w:style w:type="paragraph" w:styleId="Footer">
    <w:name w:val="Footer"/>
    <w:basedOn w:val="Header"/>
    <w:pPr/>
    <w:rPr>
      <w:lang w:eastAsia="ko-KR"/>
    </w:rPr>
  </w:style>
  <w:style w:type="paragraph" w:styleId="Contents1">
    <w:name w:val="TOC 1"/>
    <w:basedOn w:val="Normal"/>
    <w:next w:val="Normal"/>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pos="10080" w:leader="dot"/>
      </w:tabs>
      <w:spacing w:before="0" w:after="0"/>
    </w:pPr>
    <w:rPr>
      <w:lang w:eastAsia="en-US"/>
    </w:rPr>
  </w:style>
  <w:style w:type="paragraph" w:styleId="Contents2">
    <w:name w:val="TOC 2"/>
    <w:basedOn w:val="Normal"/>
    <w:next w:val="Normal"/>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pos="10080" w:leader="dot"/>
      </w:tabs>
      <w:spacing w:before="0" w:after="0"/>
      <w:ind w:left="864" w:hanging="0"/>
    </w:pPr>
    <w:rPr>
      <w:lang w:eastAsia="en-US"/>
    </w:rPr>
  </w:style>
  <w:style w:type="paragraph" w:styleId="Contents3">
    <w:name w:val="TOC 3"/>
    <w:basedOn w:val="Normal"/>
    <w:next w:val="Normal"/>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pos="10080" w:leader="dot"/>
      </w:tabs>
      <w:spacing w:before="0" w:after="0"/>
      <w:ind w:left="1296" w:hanging="0"/>
    </w:pPr>
    <w:rPr>
      <w:lang w:eastAsia="en-US"/>
    </w:rPr>
  </w:style>
  <w:style w:type="paragraph" w:styleId="Contents4">
    <w:name w:val="TOC 4"/>
    <w:basedOn w:val="Normal"/>
    <w:next w:val="Normal"/>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pos="10080" w:leader="dot"/>
      </w:tabs>
      <w:spacing w:before="0" w:after="0"/>
      <w:ind w:left="1728" w:hanging="0"/>
    </w:pPr>
    <w:rPr/>
  </w:style>
  <w:style w:type="paragraph" w:styleId="Contents5">
    <w:name w:val="TOC 5"/>
    <w:basedOn w:val="Normal"/>
    <w:next w:val="Normal"/>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pos="10080" w:leader="dot"/>
      </w:tabs>
      <w:spacing w:before="0" w:after="0"/>
      <w:ind w:left="2160" w:hanging="0"/>
    </w:pPr>
    <w:rPr/>
  </w:style>
  <w:style w:type="paragraph" w:styleId="Contents6">
    <w:name w:val="TOC 6"/>
    <w:basedOn w:val="Normal"/>
    <w:next w:val="Normal"/>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pos="10080" w:leader="dot"/>
      </w:tabs>
      <w:spacing w:before="0" w:after="0"/>
      <w:ind w:left="2592" w:hanging="0"/>
    </w:pPr>
    <w:rPr/>
  </w:style>
  <w:style w:type="paragraph" w:styleId="Contents7">
    <w:name w:val="TOC 7"/>
    <w:basedOn w:val="Normal"/>
    <w:next w:val="Normal"/>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pos="10080" w:leader="dot"/>
      </w:tabs>
      <w:spacing w:before="0" w:after="0"/>
      <w:ind w:left="3024" w:hanging="0"/>
    </w:pPr>
    <w:rPr/>
  </w:style>
  <w:style w:type="paragraph" w:styleId="Contents8">
    <w:name w:val="TOC 8"/>
    <w:basedOn w:val="Normal"/>
    <w:next w:val="Normal"/>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pos="10080" w:leader="dot"/>
      </w:tabs>
      <w:spacing w:before="0" w:after="0"/>
      <w:ind w:left="3456" w:hanging="0"/>
    </w:pPr>
    <w:rPr/>
  </w:style>
  <w:style w:type="paragraph" w:styleId="Contents9">
    <w:name w:val="TOC 9"/>
    <w:basedOn w:val="Normal"/>
    <w:next w:val="Normal"/>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pos="10080" w:leader="dot"/>
      </w:tabs>
      <w:spacing w:before="0" w:after="0"/>
      <w:ind w:left="3888" w:hanging="0"/>
    </w:pPr>
    <w:rPr/>
  </w:style>
  <w:style w:type="paragraph" w:styleId="BlockText">
    <w:name w:val="Block Text"/>
    <w:basedOn w:val="Normal"/>
    <w:qFormat/>
    <w:pPr>
      <w:spacing w:before="0" w:after="120"/>
      <w:ind w:left="1440" w:right="1440" w:hanging="0"/>
    </w:pPr>
    <w:rPr/>
  </w:style>
  <w:style w:type="paragraph" w:styleId="RFCH1nonum" w:customStyle="1">
    <w:name w:val="RFC H1 - no num"/>
    <w:basedOn w:val="Normal"/>
    <w:next w:val="Normal"/>
    <w:qFormat/>
    <w:pPr>
      <w:keepNext w:val="true"/>
      <w:ind w:left="0" w:hanging="0"/>
      <w:outlineLvl w:val="0"/>
    </w:pPr>
    <w:rPr>
      <w:rFonts w:eastAsia="Times New Roman"/>
      <w:bCs/>
    </w:rPr>
  </w:style>
  <w:style w:type="paragraph" w:styleId="RFCH1noTOCnonum" w:customStyle="1">
    <w:name w:val="RFC H1 - no TOC no num"/>
    <w:basedOn w:val="RFCH1nonum"/>
    <w:next w:val="Normal"/>
    <w:qFormat/>
    <w:pPr>
      <w:outlineLvl w:val="9"/>
    </w:pPr>
    <w:rPr/>
  </w:style>
  <w:style w:type="paragraph" w:styleId="Footnote">
    <w:name w:val="Footnote Text"/>
    <w:basedOn w:val="Normal"/>
    <w:pPr/>
    <w:rPr>
      <w:sz w:val="20"/>
      <w:szCs w:val="20"/>
    </w:rPr>
  </w:style>
  <w:style w:type="paragraph" w:styleId="RFCReferences" w:customStyle="1">
    <w:name w:val="RFC References"/>
    <w:basedOn w:val="Normal"/>
    <w:qFormat/>
    <w:pPr>
      <w:keepLines/>
      <w:tabs>
        <w:tab w:val="clear" w:pos="432"/>
        <w:tab w:val="clear" w:pos="864"/>
        <w:tab w:val="left" w:pos="1296" w:leader="none"/>
        <w:tab w:val="left" w:pos="1728" w:leader="none"/>
        <w:tab w:val="left" w:pos="2160" w:leader="none"/>
        <w:tab w:val="left" w:pos="2592" w:leader="none"/>
        <w:tab w:val="left" w:pos="3024" w:leader="none"/>
        <w:tab w:val="left" w:pos="3456" w:leader="none"/>
        <w:tab w:val="left" w:pos="3888" w:leader="none"/>
        <w:tab w:val="left" w:pos="4320" w:leader="none"/>
        <w:tab w:val="left" w:pos="4752" w:leader="none"/>
        <w:tab w:val="left" w:pos="5184" w:leader="none"/>
        <w:tab w:val="left" w:pos="5616" w:leader="none"/>
        <w:tab w:val="left" w:pos="6048" w:leader="none"/>
        <w:tab w:val="left" w:pos="6480" w:leader="none"/>
        <w:tab w:val="left" w:pos="6912" w:leader="none"/>
        <w:tab w:val="left" w:pos="7344" w:leader="none"/>
        <w:tab w:val="left" w:pos="7776" w:leader="none"/>
        <w:tab w:val="left" w:pos="8208" w:leader="none"/>
        <w:tab w:val="left" w:pos="8640" w:leader="none"/>
        <w:tab w:val="left" w:pos="9072" w:leader="none"/>
        <w:tab w:val="left" w:pos="9504" w:leader="none"/>
        <w:tab w:val="left" w:pos="9936" w:leader="none"/>
      </w:tabs>
    </w:pPr>
    <w:rPr/>
  </w:style>
  <w:style w:type="paragraph" w:styleId="RFCReferencesBookmark" w:customStyle="1">
    <w:name w:val="RFC References Bookmark"/>
    <w:basedOn w:val="RFCReferences"/>
    <w:qFormat/>
    <w:pPr>
      <w:ind w:left="1872" w:hanging="1440"/>
    </w:pPr>
    <w:rPr/>
  </w:style>
  <w:style w:type="paragraph" w:styleId="RFCTitle" w:customStyle="1">
    <w:name w:val="RFC Title"/>
    <w:basedOn w:val="Normal"/>
    <w:qFormat/>
    <w:pPr>
      <w:spacing w:before="0" w:after="480"/>
      <w:jc w:val="center"/>
    </w:pPr>
    <w:rPr>
      <w:rFonts w:eastAsia="Times New Roman"/>
    </w:rPr>
  </w:style>
  <w:style w:type="paragraph" w:styleId="RFCInstructions" w:customStyle="1">
    <w:name w:val="RFC Instructions"/>
    <w:basedOn w:val="Normal"/>
    <w:next w:val="Normal"/>
    <w:qFormat/>
    <w:pPr/>
    <w:rPr>
      <w:b/>
    </w:rPr>
  </w:style>
  <w:style w:type="paragraph" w:styleId="RFCListNumbered" w:customStyle="1">
    <w:name w:val="RFC List Numbered"/>
    <w:basedOn w:val="Normal"/>
    <w:qFormat/>
    <w:pPr>
      <w:keepLines/>
    </w:pPr>
    <w:rPr/>
  </w:style>
  <w:style w:type="paragraph" w:styleId="RFCApp" w:customStyle="1">
    <w:name w:val="RFC App"/>
    <w:basedOn w:val="RFCH1nonum"/>
    <w:next w:val="Normal"/>
    <w:qFormat/>
    <w:pPr>
      <w:pageBreakBefore/>
      <w:outlineLvl w:val="9"/>
    </w:pPr>
    <w:rPr/>
  </w:style>
  <w:style w:type="paragraph" w:styleId="RFCAppH1" w:customStyle="1">
    <w:name w:val="RFC App H1"/>
    <w:basedOn w:val="RFCH1nonum"/>
    <w:next w:val="Normal"/>
    <w:qFormat/>
    <w:pPr>
      <w:outlineLvl w:val="1"/>
    </w:pPr>
    <w:rPr/>
  </w:style>
  <w:style w:type="paragraph" w:styleId="RFCAppH2" w:customStyle="1">
    <w:name w:val="RFC App H2"/>
    <w:basedOn w:val="RFCH1nonum"/>
    <w:next w:val="Normal"/>
    <w:qFormat/>
    <w:pPr>
      <w:outlineLvl w:val="2"/>
    </w:pPr>
    <w:rPr/>
  </w:style>
  <w:style w:type="paragraph" w:styleId="BodyText2">
    <w:name w:val="Body Text 2"/>
    <w:basedOn w:val="Normal"/>
    <w:qFormat/>
    <w:pPr>
      <w:spacing w:lineRule="auto" w:line="480" w:before="0" w:after="120"/>
    </w:pPr>
    <w:rPr/>
  </w:style>
  <w:style w:type="paragraph" w:styleId="BodyText3">
    <w:name w:val="Body Text 3"/>
    <w:basedOn w:val="Normal"/>
    <w:qFormat/>
    <w:pPr>
      <w:spacing w:before="0" w:after="120"/>
    </w:pPr>
    <w:rPr>
      <w:sz w:val="16"/>
      <w:szCs w:val="16"/>
    </w:rPr>
  </w:style>
  <w:style w:type="paragraph" w:styleId="TextBodyIndent">
    <w:name w:val="Body Text Indent"/>
    <w:basedOn w:val="Normal"/>
    <w:pPr>
      <w:spacing w:before="0" w:after="120"/>
      <w:ind w:left="360" w:hanging="0"/>
    </w:pPr>
    <w:rPr/>
  </w:style>
  <w:style w:type="paragraph" w:styleId="BodyTextFirstIndent2">
    <w:name w:val="Body Text First Indent 2"/>
    <w:basedOn w:val="TextBodyIndent"/>
    <w:qFormat/>
    <w:pPr>
      <w:ind w:left="360" w:firstLine="210"/>
    </w:pPr>
    <w:rPr/>
  </w:style>
  <w:style w:type="paragraph" w:styleId="BodyTextIndent2">
    <w:name w:val="Body Text Indent 2"/>
    <w:basedOn w:val="Normal"/>
    <w:qFormat/>
    <w:pPr>
      <w:spacing w:lineRule="auto" w:line="480" w:before="0" w:after="120"/>
      <w:ind w:left="360" w:hanging="0"/>
    </w:pPr>
    <w:rPr/>
  </w:style>
  <w:style w:type="paragraph" w:styleId="BodyTextIndent3">
    <w:name w:val="Body Text Indent 3"/>
    <w:basedOn w:val="Normal"/>
    <w:qFormat/>
    <w:pPr>
      <w:spacing w:before="0" w:after="120"/>
      <w:ind w:left="360" w:hanging="0"/>
    </w:pPr>
    <w:rPr>
      <w:sz w:val="16"/>
      <w:szCs w:val="16"/>
    </w:rPr>
  </w:style>
  <w:style w:type="paragraph" w:styleId="Closing">
    <w:name w:val="Closing"/>
    <w:basedOn w:val="Normal"/>
    <w:qFormat/>
    <w:pPr>
      <w:ind w:left="4320" w:hanging="0"/>
    </w:pPr>
    <w:rPr/>
  </w:style>
  <w:style w:type="paragraph" w:styleId="Date">
    <w:name w:val="Date"/>
    <w:basedOn w:val="Normal"/>
    <w:next w:val="Normal"/>
    <w:qFormat/>
    <w:pPr/>
    <w:rPr/>
  </w:style>
  <w:style w:type="paragraph" w:styleId="EmailSignature">
    <w:name w:val="E-mail Signature"/>
    <w:basedOn w:val="Normal"/>
    <w:qFormat/>
    <w:pPr/>
    <w:rPr/>
  </w:style>
  <w:style w:type="paragraph" w:styleId="Envelopeaddress">
    <w:name w:val="envelope address"/>
    <w:basedOn w:val="Normal"/>
    <w:qFormat/>
    <w:pPr>
      <w:ind w:left="2880" w:hanging="0"/>
    </w:pPr>
    <w:rPr>
      <w:rFonts w:ascii="Arial" w:hAnsi="Arial" w:cs="Arial"/>
    </w:rPr>
  </w:style>
  <w:style w:type="paragraph" w:styleId="Envelopereturn">
    <w:name w:val="envelope return"/>
    <w:basedOn w:val="Normal"/>
    <w:qFormat/>
    <w:pPr/>
    <w:rPr>
      <w:rFonts w:ascii="Arial" w:hAnsi="Arial" w:cs="Arial"/>
      <w:sz w:val="20"/>
      <w:szCs w:val="20"/>
    </w:rPr>
  </w:style>
  <w:style w:type="paragraph" w:styleId="HTMLAddress">
    <w:name w:val="HTML Address"/>
    <w:basedOn w:val="Normal"/>
    <w:qFormat/>
    <w:pPr/>
    <w:rPr>
      <w:i/>
      <w:iCs/>
    </w:rPr>
  </w:style>
  <w:style w:type="paragraph" w:styleId="HTMLPreformatted">
    <w:name w:val="HTML Preformatted"/>
    <w:basedOn w:val="Normal"/>
    <w:qFormat/>
    <w:pPr/>
    <w:rPr>
      <w:sz w:val="20"/>
      <w:szCs w:val="20"/>
    </w:rPr>
  </w:style>
  <w:style w:type="paragraph" w:styleId="ListBullet3">
    <w:name w:val="List Bullet 3"/>
    <w:basedOn w:val="Normal"/>
    <w:qFormat/>
    <w:pPr/>
    <w:rPr/>
  </w:style>
  <w:style w:type="paragraph" w:styleId="ListBullet4">
    <w:name w:val="List Bullet 4"/>
    <w:basedOn w:val="Normal"/>
    <w:qFormat/>
    <w:pPr/>
    <w:rPr/>
  </w:style>
  <w:style w:type="paragraph" w:styleId="ListBullet5">
    <w:name w:val="List Bullet 5"/>
    <w:basedOn w:val="Normal"/>
    <w:qFormat/>
    <w:pPr/>
    <w:rPr/>
  </w:style>
  <w:style w:type="paragraph" w:styleId="ListNumber">
    <w:name w:val="List Number"/>
    <w:basedOn w:val="Normal"/>
    <w:qFormat/>
    <w:pPr/>
    <w:rPr/>
  </w:style>
  <w:style w:type="paragraph" w:styleId="ListBullet">
    <w:name w:val="List Bullet"/>
    <w:basedOn w:val="Normal"/>
    <w:qFormat/>
    <w:pPr/>
    <w:rPr/>
  </w:style>
  <w:style w:type="paragraph" w:styleId="ListBullet2">
    <w:name w:val="List Bullet 2"/>
    <w:basedOn w:val="Normal"/>
    <w:qFormat/>
    <w:pPr/>
    <w:rPr/>
  </w:style>
  <w:style w:type="paragraph" w:styleId="ListContinue">
    <w:name w:val="List Continue"/>
    <w:basedOn w:val="Normal"/>
    <w:qFormat/>
    <w:pPr>
      <w:spacing w:before="0" w:after="120"/>
      <w:ind w:left="360" w:hanging="0"/>
    </w:pPr>
    <w:rPr/>
  </w:style>
  <w:style w:type="paragraph" w:styleId="ListContinue2">
    <w:name w:val="List Continue 2"/>
    <w:basedOn w:val="Normal"/>
    <w:qFormat/>
    <w:pPr>
      <w:spacing w:before="0" w:after="120"/>
      <w:ind w:left="720" w:hanging="0"/>
    </w:pPr>
    <w:rPr/>
  </w:style>
  <w:style w:type="paragraph" w:styleId="ListContinue3">
    <w:name w:val="List Continue 3"/>
    <w:basedOn w:val="Normal"/>
    <w:qFormat/>
    <w:pPr>
      <w:spacing w:before="0" w:after="120"/>
      <w:ind w:left="1080" w:hanging="0"/>
    </w:pPr>
    <w:rPr/>
  </w:style>
  <w:style w:type="paragraph" w:styleId="ListContinue4">
    <w:name w:val="List Continue 4"/>
    <w:basedOn w:val="Normal"/>
    <w:qFormat/>
    <w:pPr>
      <w:spacing w:before="0" w:after="120"/>
      <w:ind w:left="1440" w:hanging="0"/>
    </w:pPr>
    <w:rPr/>
  </w:style>
  <w:style w:type="paragraph" w:styleId="ListContinue5">
    <w:name w:val="List Continue 5"/>
    <w:basedOn w:val="Normal"/>
    <w:qFormat/>
    <w:pPr>
      <w:spacing w:before="0" w:after="120"/>
      <w:ind w:left="1800" w:hanging="0"/>
    </w:pPr>
    <w:rPr/>
  </w:style>
  <w:style w:type="paragraph" w:styleId="ListNumber2">
    <w:name w:val="List Number 2"/>
    <w:basedOn w:val="Normal"/>
    <w:qFormat/>
    <w:pPr/>
    <w:rPr/>
  </w:style>
  <w:style w:type="paragraph" w:styleId="ListNumber3">
    <w:name w:val="List Number 3"/>
    <w:basedOn w:val="Normal"/>
    <w:qFormat/>
    <w:pPr/>
    <w:rPr/>
  </w:style>
  <w:style w:type="paragraph" w:styleId="ListNumber4">
    <w:name w:val="List Number 4"/>
    <w:basedOn w:val="Normal"/>
    <w:qFormat/>
    <w:pPr/>
    <w:rPr/>
  </w:style>
  <w:style w:type="paragraph" w:styleId="ListNumber5">
    <w:name w:val="List Number 5"/>
    <w:basedOn w:val="Normal"/>
    <w:qFormat/>
    <w:pPr/>
    <w:rPr/>
  </w:style>
  <w:style w:type="paragraph" w:styleId="MessageHeader">
    <w:name w:val="Message Header"/>
    <w:basedOn w:val="Normal"/>
    <w:qFormat/>
    <w:pPr>
      <w:pBdr>
        <w:top w:val="single" w:sz="6" w:space="1" w:color="000000"/>
        <w:left w:val="single" w:sz="6" w:space="1" w:color="000000"/>
        <w:bottom w:val="single" w:sz="6" w:space="1" w:color="000000"/>
        <w:right w:val="single" w:sz="6" w:space="1" w:color="000000"/>
      </w:pBdr>
      <w:shd w:val="clear" w:color="auto" w:fill="CCCCCC"/>
      <w:ind w:left="1080" w:hanging="1080"/>
    </w:pPr>
    <w:rPr>
      <w:rFonts w:ascii="Arial" w:hAnsi="Arial" w:cs="Arial"/>
    </w:rPr>
  </w:style>
  <w:style w:type="paragraph" w:styleId="NormalWeb">
    <w:name w:val="Normal (Web)"/>
    <w:basedOn w:val="Normal"/>
    <w:qFormat/>
    <w:pPr/>
    <w:rPr>
      <w:rFonts w:ascii="Times New Roman" w:hAnsi="Times New Roman" w:cs="Times New Roman"/>
    </w:rPr>
  </w:style>
  <w:style w:type="paragraph" w:styleId="NormalIndent">
    <w:name w:val="Normal Indent"/>
    <w:basedOn w:val="Normal"/>
    <w:qFormat/>
    <w:pPr>
      <w:ind w:left="720" w:hanging="0"/>
    </w:pPr>
    <w:rPr/>
  </w:style>
  <w:style w:type="paragraph" w:styleId="NoteHeading">
    <w:name w:val="Note Heading"/>
    <w:basedOn w:val="Normal"/>
    <w:next w:val="Normal"/>
    <w:qFormat/>
    <w:pPr/>
    <w:rPr/>
  </w:style>
  <w:style w:type="paragraph" w:styleId="ComplimentaryClose">
    <w:name w:val="Salutation"/>
    <w:basedOn w:val="Normal"/>
    <w:next w:val="Normal"/>
    <w:pPr/>
    <w:rPr/>
  </w:style>
  <w:style w:type="paragraph" w:styleId="Signature">
    <w:name w:val="Signature"/>
    <w:basedOn w:val="Normal"/>
    <w:pPr>
      <w:ind w:left="4320" w:hanging="0"/>
    </w:pPr>
    <w:rPr/>
  </w:style>
  <w:style w:type="paragraph" w:styleId="Subtitle">
    <w:name w:val="Subtitle"/>
    <w:basedOn w:val="Normal"/>
    <w:next w:val="TextBody"/>
    <w:uiPriority w:val="11"/>
    <w:qFormat/>
    <w:pPr>
      <w:spacing w:before="0" w:after="60"/>
      <w:jc w:val="center"/>
      <w:outlineLvl w:val="1"/>
    </w:pPr>
    <w:rPr>
      <w:rFonts w:ascii="Arial" w:hAnsi="Arial" w:cs="Arial"/>
    </w:rPr>
  </w:style>
  <w:style w:type="paragraph" w:styleId="RFCFigure" w:customStyle="1">
    <w:name w:val="RFC Figure"/>
    <w:basedOn w:val="Normal"/>
    <w:qFormat/>
    <w:pPr>
      <w:keepNext w:val="true"/>
      <w:keepLines/>
      <w:spacing w:before="0" w:after="0"/>
    </w:pPr>
    <w:rPr/>
  </w:style>
  <w:style w:type="paragraph" w:styleId="RFCListBullet" w:customStyle="1">
    <w:name w:val="RFC List Bullet"/>
    <w:basedOn w:val="Normal"/>
    <w:qFormat/>
    <w:pPr>
      <w:keepLines/>
    </w:pPr>
    <w:rPr/>
  </w:style>
  <w:style w:type="paragraph" w:styleId="RFCAppH3" w:customStyle="1">
    <w:name w:val="RFC App H3"/>
    <w:basedOn w:val="RFCH1nonum"/>
    <w:next w:val="Normal"/>
    <w:qFormat/>
    <w:pPr>
      <w:outlineLvl w:val="3"/>
    </w:pPr>
    <w:rPr/>
  </w:style>
  <w:style w:type="paragraph" w:styleId="RFCAppH4" w:customStyle="1">
    <w:name w:val="RFC App H4"/>
    <w:basedOn w:val="RFCH1nonum"/>
    <w:next w:val="Normal"/>
    <w:qFormat/>
    <w:pPr>
      <w:outlineLvl w:val="4"/>
    </w:pPr>
    <w:rPr/>
  </w:style>
  <w:style w:type="paragraph" w:styleId="RFCAppH5" w:customStyle="1">
    <w:name w:val="RFC App H5"/>
    <w:basedOn w:val="RFCH1nonum"/>
    <w:next w:val="Normal"/>
    <w:qFormat/>
    <w:pPr>
      <w:outlineLvl w:val="5"/>
    </w:pPr>
    <w:rPr/>
  </w:style>
  <w:style w:type="paragraph" w:styleId="RFCBoilerplate" w:customStyle="1">
    <w:name w:val="RFC Boilerplate"/>
    <w:basedOn w:val="Normal"/>
    <w:next w:val="Normal"/>
    <w:qFormat/>
    <w:pPr/>
    <w:rPr/>
  </w:style>
  <w:style w:type="paragraph" w:styleId="BalloonText">
    <w:name w:val="Balloon Text"/>
    <w:basedOn w:val="Normal"/>
    <w:qFormat/>
    <w:pPr>
      <w:spacing w:lineRule="auto" w:line="240" w:before="0" w:after="0"/>
    </w:pPr>
    <w:rPr>
      <w:rFonts w:ascii="Tahoma" w:hAnsi="Tahoma" w:cs="Tahoma"/>
      <w:sz w:val="16"/>
      <w:szCs w:val="16"/>
    </w:rPr>
  </w:style>
  <w:style w:type="paragraph" w:styleId="PreformattedText" w:customStyle="1">
    <w:name w:val="Preformatted Text"/>
    <w:basedOn w:val="Normal"/>
    <w:qFormat/>
    <w:pPr>
      <w:spacing w:before="0" w:after="0"/>
    </w:pPr>
    <w:rPr>
      <w:rFonts w:ascii="Liberation Mono" w:hAnsi="Liberation Mono" w:eastAsia="Noto Sans Mono CJK SC" w:cs="Liberation Mono"/>
      <w:sz w:val="20"/>
      <w:szCs w:val="20"/>
    </w:rPr>
  </w:style>
  <w:style w:type="paragraph" w:styleId="Revision">
    <w:name w:val="Revision"/>
    <w:uiPriority w:val="99"/>
    <w:semiHidden/>
    <w:qFormat/>
    <w:rsid w:val="00537359"/>
    <w:pPr>
      <w:widowControl/>
      <w:suppressAutoHyphens w:val="false"/>
      <w:bidi w:val="0"/>
      <w:spacing w:before="0" w:after="0"/>
      <w:jc w:val="left"/>
    </w:pPr>
    <w:rPr>
      <w:rFonts w:ascii="Courier New" w:hAnsi="Courier New" w:eastAsia="Batang;바탕" w:cs="Courier New"/>
      <w:color w:val="auto"/>
      <w:kern w:val="0"/>
      <w:sz w:val="24"/>
      <w:szCs w:val="24"/>
      <w:lang w:val="en-US" w:eastAsia="zh-CN" w:bidi="ar-SA"/>
    </w:rPr>
  </w:style>
  <w:style w:type="paragraph" w:styleId="IndexHeading">
    <w:name w:val="Index Heading"/>
    <w:basedOn w:val="Heading"/>
    <w:pPr>
      <w:suppressLineNumbers/>
      <w:ind w:left="0" w:hanging="0"/>
    </w:pPr>
    <w:rPr>
      <w:b/>
      <w:bCs/>
      <w:sz w:val="32"/>
      <w:szCs w:val="32"/>
    </w:rPr>
  </w:style>
  <w:style w:type="paragraph" w:styleId="ContentsHeading">
    <w:name w:val="TOC Heading"/>
    <w:basedOn w:val="IndexHeading"/>
    <w:pPr>
      <w:suppressLineNumbers/>
      <w:ind w:left="0" w:hanging="0"/>
    </w:pPr>
    <w:rPr>
      <w:b/>
      <w:bCs/>
      <w:sz w:val="32"/>
      <w:szCs w:val="32"/>
    </w:rPr>
  </w:style>
  <w:style w:type="numbering" w:styleId="NoList" w:default="1">
    <w:name w:val="No List"/>
    <w:uiPriority w:val="99"/>
    <w:semiHidden/>
    <w:unhideWhenUsed/>
    <w:qFormat/>
  </w:style>
  <w:style w:type="numbering" w:styleId="WW8Num1" w:customStyle="1">
    <w:name w:val="WW8Num1"/>
    <w:qFormat/>
  </w:style>
  <w:style w:type="numbering" w:styleId="WW8Num2" w:customStyle="1">
    <w:name w:val="WW8Num2"/>
    <w:qFormat/>
  </w:style>
  <w:style w:type="numbering" w:styleId="WW8Num3" w:customStyle="1">
    <w:name w:val="WW8Num3"/>
    <w:qFormat/>
  </w:style>
  <w:style w:type="numbering" w:styleId="WW8Num4" w:customStyle="1">
    <w:name w:val="WW8Num4"/>
    <w:qFormat/>
  </w:style>
  <w:style w:type="numbering" w:styleId="WW8Num5" w:customStyle="1">
    <w:name w:val="WW8Num5"/>
    <w:qFormat/>
  </w:style>
  <w:style w:type="numbering" w:styleId="WW8Num6" w:customStyle="1">
    <w:name w:val="WW8Num6"/>
    <w:qFormat/>
  </w:style>
  <w:style w:type="numbering" w:styleId="WW8Num7" w:customStyle="1">
    <w:name w:val="WW8Num7"/>
    <w:qFormat/>
  </w:style>
  <w:style w:type="numbering" w:styleId="WW8Num8" w:customStyle="1">
    <w:name w:val="WW8Num8"/>
    <w:qFormat/>
  </w:style>
  <w:style w:type="numbering" w:styleId="WW8Num9" w:customStyle="1">
    <w:name w:val="WW8Num9"/>
    <w:qFormat/>
  </w:style>
  <w:style w:type="numbering" w:styleId="WW8Num10" w:customStyle="1">
    <w:name w:val="WW8Num10"/>
    <w:qFormat/>
  </w:style>
  <w:style w:type="numbering" w:styleId="WW8Num11" w:customStyle="1">
    <w:name w:val="WW8Num11"/>
    <w:qFormat/>
  </w:style>
  <w:style w:type="numbering" w:styleId="WW8Num12" w:customStyle="1">
    <w:name w:val="WW8Num12"/>
    <w:qFormat/>
  </w:style>
  <w:style w:type="numbering" w:styleId="WW8Num13" w:customStyle="1">
    <w:name w:val="WW8Num13"/>
    <w:qFormat/>
  </w:style>
  <w:style w:type="numbering" w:styleId="WW8Num14" w:customStyle="1">
    <w:name w:val="WW8Num14"/>
    <w:qFormat/>
  </w:style>
  <w:style w:type="numbering" w:styleId="WW8Num15" w:customStyle="1">
    <w:name w:val="WW8Num15"/>
    <w:qFormat/>
  </w:style>
  <w:style w:type="numbering" w:styleId="WW8Num16" w:customStyle="1">
    <w:name w:val="WW8Num16"/>
    <w:qFormat/>
  </w:style>
  <w:style w:type="numbering" w:styleId="WW8Num17" w:customStyle="1">
    <w:name w:val="WW8Num17"/>
    <w:qFormat/>
  </w:style>
  <w:style w:type="numbering" w:styleId="WW8Num18" w:customStyle="1">
    <w:name w:val="WW8Num18"/>
    <w:qFormat/>
  </w:style>
  <w:style w:type="numbering" w:styleId="WW8Num19" w:customStyle="1">
    <w:name w:val="WW8Num19"/>
    <w:qFormat/>
  </w:style>
  <w:style w:type="numbering" w:styleId="WW8Num20" w:customStyle="1">
    <w:name w:val="WW8Num20"/>
    <w:qFormat/>
  </w:style>
  <w:style w:type="numbering" w:styleId="WW8Num21" w:customStyle="1">
    <w:name w:val="WW8Num21"/>
    <w:qFormat/>
  </w:style>
  <w:style w:type="numbering" w:styleId="WW8Num22" w:customStyle="1">
    <w:name w:val="WW8Num22"/>
    <w:qFormat/>
  </w:style>
  <w:style w:type="numbering" w:styleId="WW8Num23" w:customStyle="1">
    <w:name w:val="WW8Num23"/>
    <w:qFormat/>
  </w:style>
  <w:style w:type="numbering" w:styleId="WW8Num24" w:customStyle="1">
    <w:name w:val="WW8Num24"/>
    <w:qFormat/>
  </w:style>
  <w:style w:type="numbering" w:styleId="WW8Num25" w:customStyle="1">
    <w:name w:val="WW8Num25"/>
    <w:qFormat/>
  </w:style>
  <w:style w:type="numbering" w:styleId="WW8Num26" w:customStyle="1">
    <w:name w:val="WW8Num26"/>
    <w:qFormat/>
  </w:style>
  <w:style w:type="numbering" w:styleId="WW8Num27" w:customStyle="1">
    <w:name w:val="WW8Num27"/>
    <w:qFormat/>
  </w:style>
  <w:style w:type="numbering" w:styleId="WW8Num28" w:customStyle="1">
    <w:name w:val="WW8Num28"/>
    <w:qFormat/>
  </w:style>
  <w:style w:type="numbering" w:styleId="WW8Num29" w:customStyle="1">
    <w:name w:val="WW8Num29"/>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fb4123"/>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rfc-editor.org/info/rfc1034" TargetMode="External"/><Relationship Id="rId3" Type="http://schemas.openxmlformats.org/officeDocument/2006/relationships/hyperlink" Target="https://datatracker.ietf.org/doc/html/rfc1035" TargetMode="External"/><Relationship Id="rId4" Type="http://schemas.openxmlformats.org/officeDocument/2006/relationships/hyperlink" Target="https://datatracker.ietf.org/doc/html/rfc1123" TargetMode="External"/><Relationship Id="rId5" Type="http://schemas.openxmlformats.org/officeDocument/2006/relationships/hyperlink" Target="https://datatracker.ietf.org/doc/html/rfc2181" TargetMode="External"/><Relationship Id="rId6" Type="http://schemas.openxmlformats.org/officeDocument/2006/relationships/hyperlink" Target="https://datatracker.ietf.org/doc/html/rfc4343" TargetMode="External"/><Relationship Id="rId7" Type="http://schemas.openxmlformats.org/officeDocument/2006/relationships/hyperlink" Target="https://datatracker.ietf.org/doc/html/rfc2119" TargetMode="External"/><Relationship Id="rId8" Type="http://schemas.openxmlformats.org/officeDocument/2006/relationships/hyperlink" Target="https://datatracker.ietf.org/doc/html/rfc2234" TargetMode="External"/><Relationship Id="rId9" Type="http://schemas.openxmlformats.org/officeDocument/2006/relationships/header" Target="header1.xml"/><Relationship Id="rId10" Type="http://schemas.openxmlformats.org/officeDocument/2006/relationships/header" Target="header2.xml"/><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Application>LibreOffice/7.3.7.2$Linux_X86_64 LibreOffice_project/30$Build-2</Application>
  <AppVersion>15.0000</AppVersion>
  <Pages>7</Pages>
  <Words>1442</Words>
  <Characters>8449</Characters>
  <CharactersWithSpaces>9822</CharactersWithSpaces>
  <Paragraphs>107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2023-03-10T02:35:00Z</dcterms:created>
  <dc:creator>Michael Cataletto</dc:creator>
  <dc:description/>
  <dc:language>en-US</dc:language>
  <cp:lastModifiedBy/>
  <cp:lastPrinted>2004-10-22T22:03:00Z</cp:lastPrinted>
  <dcterms:modified xsi:type="dcterms:W3CDTF">2023-03-12T09:14:48Z</dcterms:modified>
  <cp:revision>7</cp:revision>
  <dc:subject/>
  <dc:title>Network Working Group</dc:title>
</cp:coreProperties>
</file>

<file path=docProps/custom.xml><?xml version="1.0" encoding="utf-8"?>
<Properties xmlns="http://schemas.openxmlformats.org/officeDocument/2006/custom-properties" xmlns:vt="http://schemas.openxmlformats.org/officeDocument/2006/docPropsVTypes"/>
</file>