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  <w:i/>
          <w:iCs/>
        </w:rPr>
        <w:t xml:space="preserve">nu paḫḫur änza ēšta </w:t>
      </w:r>
      <w:r>
        <w:rPr>
          <w:rFonts w:cs="Calibri" w:cstheme="minorHAnsi"/>
        </w:rPr>
        <w:t xml:space="preserve">&gt; </w:t>
      </w:r>
      <w:r>
        <w:rPr>
          <w:rFonts w:cs="Calibri" w:cstheme="minorHAnsi"/>
          <w:i/>
          <w:iCs/>
        </w:rPr>
        <w:t xml:space="preserve">nu paḫḫur </w:t>
      </w:r>
      <w:r>
        <w:rPr>
          <w:rFonts w:cs="Calibri" w:cstheme="minorHAnsi"/>
          <w:b/>
          <w:bCs/>
          <w:i/>
          <w:iCs/>
        </w:rPr>
        <w:t>än</w:t>
      </w:r>
      <w:r>
        <w:rPr>
          <w:rFonts w:cs="Calibri" w:cstheme="minorHAnsi"/>
          <w:i/>
          <w:iCs/>
        </w:rPr>
        <w:t xml:space="preserve"> ēšta</w:t>
        <w:tab/>
      </w:r>
      <w:r>
        <w:rPr>
          <w:rFonts w:cs="Calibri" w:cstheme="minorHAnsi"/>
        </w:rPr>
        <w:t>(</w:t>
      </w:r>
      <w:r>
        <w:rPr>
          <w:rFonts w:cs="Calibri" w:cstheme="minorHAnsi"/>
          <w:i/>
          <w:iCs/>
        </w:rPr>
        <w:t xml:space="preserve">paḫḫur </w:t>
      </w:r>
      <w:r>
        <w:rPr>
          <w:rFonts w:cs="Calibri" w:cstheme="minorHAnsi"/>
        </w:rPr>
        <w:t>is neuter)</w:t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 xml:space="preserve">nu...anda ešer </w:t>
      </w:r>
      <w:r>
        <w:rPr>
          <w:rFonts w:cs="Calibri" w:cstheme="minorHAnsi"/>
        </w:rPr>
        <w:t xml:space="preserve">&gt; </w:t>
      </w:r>
      <w:r>
        <w:rPr>
          <w:rFonts w:cs="Calibri" w:cstheme="minorHAnsi"/>
          <w:i/>
          <w:iCs/>
        </w:rPr>
        <w:t>nu⸗</w:t>
      </w:r>
      <w:r>
        <w:rPr>
          <w:rFonts w:cs="Calibri" w:cstheme="minorHAnsi"/>
          <w:b/>
          <w:bCs/>
          <w:i/>
          <w:iCs/>
        </w:rPr>
        <w:t>kan</w:t>
      </w:r>
      <w:r>
        <w:rPr>
          <w:rFonts w:cs="Calibri" w:cstheme="minorHAnsi"/>
          <w:i/>
          <w:iCs/>
        </w:rPr>
        <w:t>…anda ešer</w:t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 xml:space="preserve">nu...anda ēšta </w:t>
      </w:r>
      <w:r>
        <w:rPr>
          <w:rFonts w:cs="Calibri" w:cstheme="minorHAnsi"/>
        </w:rPr>
        <w:t xml:space="preserve">&gt; </w:t>
      </w:r>
      <w:r>
        <w:rPr>
          <w:rFonts w:cs="Calibri" w:cstheme="minorHAnsi"/>
          <w:i/>
          <w:iCs/>
        </w:rPr>
        <w:t>nu⸗</w:t>
      </w:r>
      <w:r>
        <w:rPr>
          <w:rFonts w:cs="Calibri" w:cstheme="minorHAnsi"/>
          <w:b/>
          <w:bCs/>
          <w:i/>
          <w:iCs/>
        </w:rPr>
        <w:t>kan</w:t>
      </w:r>
      <w:r>
        <w:rPr>
          <w:rFonts w:cs="Calibri" w:cstheme="minorHAnsi"/>
          <w:i/>
          <w:iCs/>
        </w:rPr>
        <w:t>…anda ēšta</w:t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 xml:space="preserve">paḫḫeni </w:t>
      </w:r>
      <w:r>
        <w:rPr>
          <w:rFonts w:cs="Calibri" w:cstheme="minorHAnsi"/>
        </w:rPr>
        <w:t xml:space="preserve">&gt; </w:t>
      </w:r>
      <w:r>
        <w:rPr>
          <w:rFonts w:cs="Calibri" w:cstheme="minorHAnsi"/>
          <w:i/>
          <w:iCs/>
        </w:rPr>
        <w:t>paḫḫ</w:t>
      </w:r>
      <w:r>
        <w:rPr>
          <w:rFonts w:cs="Calibri" w:cstheme="minorHAnsi"/>
          <w:b/>
          <w:bCs/>
          <w:i/>
          <w:iCs/>
        </w:rPr>
        <w:t>u</w:t>
      </w:r>
      <w:r>
        <w:rPr>
          <w:rFonts w:cs="Calibri" w:cstheme="minorHAnsi"/>
          <w:i/>
          <w:iCs/>
        </w:rPr>
        <w:t>eni</w:t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</w:rPr>
        <w:t xml:space="preserve">Another word for a room could be </w:t>
      </w:r>
      <w:r>
        <w:rPr>
          <w:rFonts w:cs="Calibri" w:cstheme="minorHAnsi"/>
          <w:smallCaps/>
          <w:vertAlign w:val="superscript"/>
        </w:rPr>
        <w:t>é</w:t>
      </w:r>
      <w:r>
        <w:rPr>
          <w:rFonts w:cs="Calibri" w:cstheme="minorHAnsi"/>
          <w:i/>
          <w:iCs/>
        </w:rPr>
        <w:t xml:space="preserve">tunnakkeššar </w:t>
      </w:r>
      <w:r>
        <w:rPr>
          <w:rFonts w:cs="Calibri" w:cstheme="minorHAnsi"/>
        </w:rPr>
        <w:t>“inner chamber; bedroom”:</w:t>
        <w:br/>
        <w:t xml:space="preserve"> </w:t>
        <w:tab/>
      </w:r>
      <w:r>
        <w:rPr>
          <w:rFonts w:cs="Calibri" w:cstheme="minorHAnsi"/>
          <w:i/>
          <w:iCs/>
        </w:rPr>
        <w:t>tunnakkeššar</w:t>
      </w:r>
      <w:r>
        <w:rPr>
          <w:rFonts w:cs="Calibri" w:cstheme="minorHAnsi"/>
        </w:rPr>
        <w:t xml:space="preserve">, </w:t>
      </w:r>
      <w:r>
        <w:rPr>
          <w:rFonts w:cs="Calibri" w:cstheme="minorHAnsi"/>
          <w:i/>
          <w:iCs/>
        </w:rPr>
        <w:t>tunnakkešnaš</w:t>
      </w:r>
      <w:r>
        <w:rPr>
          <w:rFonts w:cs="Calibri" w:cstheme="minorHAnsi"/>
        </w:rPr>
        <w:t xml:space="preserve">, </w:t>
      </w:r>
      <w:r>
        <w:rPr>
          <w:rFonts w:cs="Calibri" w:cstheme="minorHAnsi"/>
          <w:i/>
          <w:iCs/>
        </w:rPr>
        <w:t>tunnakkešni</w:t>
      </w:r>
      <w:r>
        <w:rPr>
          <w:rFonts w:cs="Calibri" w:cstheme="minorHAnsi"/>
        </w:rPr>
        <w:t xml:space="preserve">, </w:t>
      </w:r>
      <w:r>
        <w:rPr>
          <w:rFonts w:cs="Calibri" w:cstheme="minorHAnsi"/>
          <w:i/>
          <w:iCs/>
        </w:rPr>
        <w:t>tunnakkešnaz</w:t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</w:rPr>
        <w:t xml:space="preserve">If you haven’t used </w:t>
      </w:r>
      <w:r>
        <w:rPr>
          <w:rFonts w:cs="Calibri" w:cstheme="minorHAnsi"/>
          <w:i/>
          <w:iCs/>
        </w:rPr>
        <w:t xml:space="preserve">ḫila- </w:t>
      </w:r>
      <w:r>
        <w:rPr>
          <w:rFonts w:cs="Calibri" w:cstheme="minorHAnsi"/>
        </w:rPr>
        <w:t>already, that kinda conveys the idea of “area within the walls.”</w:t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</w:rPr>
        <w:t xml:space="preserve">I think </w:t>
      </w:r>
      <w:r>
        <w:rPr>
          <w:rFonts w:cs="Calibri" w:cstheme="minorHAnsi"/>
          <w:i/>
          <w:iCs/>
        </w:rPr>
        <w:t xml:space="preserve">ḫattalu aškaz dāḫḫun </w:t>
      </w:r>
      <w:r>
        <w:rPr>
          <w:rFonts w:cs="Calibri" w:cstheme="minorHAnsi"/>
        </w:rPr>
        <w:t xml:space="preserve">is clear enough; there’s also the attested phrase </w:t>
      </w:r>
      <w:r>
        <w:rPr>
          <w:rFonts w:cs="Calibri" w:cstheme="minorHAnsi"/>
          <w:i/>
          <w:iCs/>
        </w:rPr>
        <w:t xml:space="preserve">nu </w:t>
      </w:r>
      <w:r>
        <w:rPr>
          <w:rFonts w:cs="Calibri" w:cstheme="minorHAnsi"/>
          <w:smallCaps/>
        </w:rPr>
        <w:t xml:space="preserve">dumu.é.gal </w:t>
      </w:r>
      <w:r>
        <w:rPr>
          <w:rFonts w:cs="Calibri" w:cstheme="minorHAnsi"/>
          <w:smallCaps/>
          <w:vertAlign w:val="superscript"/>
        </w:rPr>
        <w:t>giš</w:t>
      </w:r>
      <w:r>
        <w:rPr>
          <w:rFonts w:cs="Calibri" w:cstheme="minorHAnsi"/>
          <w:i/>
          <w:iCs/>
        </w:rPr>
        <w:t>zakkin peššiyazzi</w:t>
      </w:r>
      <w:r>
        <w:rPr>
          <w:rFonts w:cs="Calibri" w:cstheme="minorHAnsi"/>
        </w:rPr>
        <w:t xml:space="preserve">, “The palace attendant throws the bolt,” i.e. locks the door. “Withdraw” would be </w:t>
      </w:r>
      <w:r>
        <w:rPr>
          <w:rFonts w:cs="Calibri" w:cstheme="minorHAnsi"/>
          <w:i/>
          <w:iCs/>
        </w:rPr>
        <w:t>ú-uš-ši-ia-</w:t>
      </w:r>
      <w:r>
        <w:rPr>
          <w:rFonts w:cs="Calibri" w:cstheme="minorHAnsi"/>
        </w:rPr>
        <w:t xml:space="preserve">, clearly the same verb with the opposite prefix, but so far only attested with “curtains.” </w:t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  <w:i/>
          <w:iCs/>
        </w:rPr>
        <w:t xml:space="preserve">nu...taruḫḫun </w:t>
      </w:r>
      <w:r>
        <w:rPr>
          <w:rFonts w:cs="Calibri" w:cstheme="minorHAnsi"/>
        </w:rPr>
        <w:t xml:space="preserve">&gt; </w:t>
      </w:r>
      <w:r>
        <w:rPr>
          <w:rFonts w:cs="Calibri" w:cstheme="minorHAnsi"/>
          <w:i/>
          <w:iCs/>
        </w:rPr>
        <w:t>nu⸗za…taruḫḫun</w:t>
        <w:tab/>
        <w:br/>
      </w:r>
      <w:r>
        <w:rPr>
          <w:rFonts w:cs="Calibri" w:cstheme="minorHAnsi"/>
        </w:rPr>
        <w:t>[⸗</w:t>
      </w:r>
      <w:r>
        <w:rPr>
          <w:rFonts w:cs="Calibri" w:cstheme="minorHAnsi"/>
          <w:i/>
          <w:iCs/>
        </w:rPr>
        <w:t xml:space="preserve">za </w:t>
      </w:r>
      <w:r>
        <w:rPr>
          <w:rFonts w:cs="Calibri" w:cstheme="minorHAnsi"/>
        </w:rPr>
        <w:t xml:space="preserve">is required when </w:t>
      </w:r>
      <w:r>
        <w:rPr>
          <w:rFonts w:cs="Calibri" w:cstheme="minorHAnsi"/>
          <w:i/>
          <w:iCs/>
        </w:rPr>
        <w:t xml:space="preserve">tarḫ- </w:t>
      </w:r>
      <w:r>
        <w:rPr>
          <w:rFonts w:cs="Calibri" w:cstheme="minorHAnsi"/>
        </w:rPr>
        <w:t>takes a direct object, as in “conquer, overpower (someone/something)”]</w:t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 xml:space="preserve">nu </w:t>
      </w:r>
      <w:r>
        <w:rPr>
          <w:rFonts w:cs="Calibri" w:cstheme="minorHAnsi"/>
        </w:rPr>
        <w:t xml:space="preserve">THING-NOM </w:t>
      </w:r>
      <w:r>
        <w:rPr>
          <w:rFonts w:cs="Calibri" w:cstheme="minorHAnsi"/>
          <w:i/>
          <w:iCs/>
        </w:rPr>
        <w:t xml:space="preserve">natta </w:t>
      </w:r>
      <w:r>
        <w:rPr>
          <w:rFonts w:cs="Calibri" w:cstheme="minorHAnsi"/>
        </w:rPr>
        <w:t xml:space="preserve">HOLDER-DAT PREVERB </w:t>
      </w:r>
      <w:r>
        <w:rPr>
          <w:rFonts w:cs="Calibri" w:cstheme="minorHAnsi"/>
          <w:i/>
          <w:iCs/>
        </w:rPr>
        <w:t xml:space="preserve">ēšta </w:t>
      </w:r>
      <w:r>
        <w:rPr>
          <w:rFonts w:cs="Calibri" w:cstheme="minorHAnsi"/>
        </w:rPr>
        <w:t xml:space="preserve">&gt; </w:t>
      </w:r>
      <w:r>
        <w:rPr>
          <w:rFonts w:cs="Calibri" w:cstheme="minorHAnsi"/>
          <w:i/>
          <w:iCs/>
        </w:rPr>
        <w:t xml:space="preserve">nu </w:t>
      </w:r>
      <w:r>
        <w:rPr>
          <w:rFonts w:cs="Calibri" w:cstheme="minorHAnsi"/>
        </w:rPr>
        <w:t xml:space="preserve">THING-NOM HOLDER-DAT PREVERB </w:t>
      </w:r>
      <w:r>
        <w:rPr>
          <w:rFonts w:cs="Calibri" w:cstheme="minorHAnsi"/>
          <w:b/>
          <w:bCs/>
          <w:i/>
          <w:iCs/>
        </w:rPr>
        <w:t>natta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i/>
          <w:iCs/>
        </w:rPr>
        <w:t>ēšta</w:t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</w:rPr>
        <w:t>[No, the distinction between preverbs and postpositions is rather slight, don’t worry about it!]</w:t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</w:rPr>
        <w:t xml:space="preserve">Note that </w:t>
      </w:r>
      <w:r>
        <w:rPr>
          <w:rFonts w:cs="Calibri" w:cstheme="minorHAnsi"/>
          <w:i/>
          <w:iCs/>
        </w:rPr>
        <w:t xml:space="preserve">lukk- </w:t>
      </w:r>
      <w:r>
        <w:rPr>
          <w:rFonts w:cs="Calibri" w:cstheme="minorHAnsi"/>
        </w:rPr>
        <w:t>“to set fire to” is transitive:</w:t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  <w:i/>
          <w:iCs/>
        </w:rPr>
        <w:t xml:space="preserve">nu </w:t>
      </w:r>
      <w:r>
        <w:rPr>
          <w:rFonts w:cs="Calibri" w:cstheme="minorHAnsi"/>
        </w:rPr>
        <w:t xml:space="preserve">WOOD-NOM </w:t>
      </w:r>
      <w:r>
        <w:rPr>
          <w:rFonts w:cs="Calibri" w:cstheme="minorHAnsi"/>
          <w:i/>
          <w:iCs/>
        </w:rPr>
        <w:t xml:space="preserve">lukket </w:t>
      </w:r>
      <w:r>
        <w:rPr>
          <w:rFonts w:cs="Calibri" w:cstheme="minorHAnsi"/>
        </w:rPr>
        <w:t xml:space="preserve">&gt; </w:t>
      </w:r>
      <w:r>
        <w:rPr>
          <w:rFonts w:cs="Calibri" w:cstheme="minorHAnsi"/>
          <w:i/>
          <w:iCs/>
        </w:rPr>
        <w:t xml:space="preserve">nu </w:t>
      </w:r>
      <w:r>
        <w:rPr>
          <w:rFonts w:cs="Calibri" w:cstheme="minorHAnsi"/>
        </w:rPr>
        <w:t xml:space="preserve">WOOD-ACC </w:t>
      </w:r>
      <w:r>
        <w:rPr>
          <w:rFonts w:cs="Calibri" w:cstheme="minorHAnsi"/>
          <w:i/>
          <w:iCs/>
        </w:rPr>
        <w:t>lukkun</w:t>
        <w:tab/>
      </w:r>
      <w:r>
        <w:rPr>
          <w:rFonts w:cs="Calibri" w:cstheme="minorHAnsi"/>
        </w:rPr>
        <w:t>“I lit the wood (on fire)”</w:t>
      </w:r>
    </w:p>
    <w:p>
      <w:pPr>
        <w:pStyle w:val="Normal"/>
        <w:spacing w:lineRule="auto" w:line="240"/>
        <w:ind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/>
        <w:ind w:hanging="0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 xml:space="preserve">nu </w:t>
      </w:r>
      <w:r>
        <w:rPr>
          <w:rFonts w:cs="Calibri" w:cstheme="minorHAnsi"/>
          <w:i/>
          <w:iCs/>
          <w:lang w:val="de-DE"/>
        </w:rPr>
        <w:t xml:space="preserve">šuḫḫa parku ēšta </w:t>
      </w:r>
      <w:r>
        <w:rPr>
          <w:rFonts w:cs="Calibri" w:cstheme="minorHAnsi"/>
        </w:rPr>
        <w:t xml:space="preserve">&gt; </w:t>
      </w:r>
      <w:r>
        <w:rPr>
          <w:rFonts w:cs="Calibri" w:cstheme="minorHAnsi"/>
          <w:i/>
          <w:iCs/>
        </w:rPr>
        <w:t xml:space="preserve">nu </w:t>
      </w:r>
      <w:r>
        <w:rPr>
          <w:rFonts w:cs="Calibri" w:cstheme="minorHAnsi"/>
          <w:i/>
          <w:iCs/>
          <w:lang w:val="de-DE"/>
        </w:rPr>
        <w:t>šuḫḫa</w:t>
      </w:r>
      <w:r>
        <w:rPr>
          <w:rFonts w:cs="Calibri" w:cstheme="minorHAnsi"/>
          <w:b/>
          <w:bCs/>
          <w:i/>
          <w:iCs/>
          <w:lang w:val="de-DE"/>
        </w:rPr>
        <w:t>n</w:t>
      </w:r>
      <w:r>
        <w:rPr>
          <w:rFonts w:cs="Calibri" w:cstheme="minorHAnsi"/>
          <w:i/>
          <w:iCs/>
          <w:lang w:val="de-DE"/>
        </w:rPr>
        <w:t xml:space="preserve"> parku ēšta</w:t>
      </w:r>
    </w:p>
    <w:p>
      <w:pPr>
        <w:pStyle w:val="Normal"/>
        <w:spacing w:lineRule="auto" w:line="240" w:before="0" w:after="160"/>
        <w:ind w:hanging="0"/>
        <w:rPr>
          <w:rFonts w:cs="Calibri" w:cstheme="minorHAnsi"/>
        </w:rPr>
      </w:pPr>
      <w:r>
        <w:rPr>
          <w:rFonts w:cs="Calibri" w:cstheme="minorHAnsi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480" w:before="0" w:after="160"/>
      <w:ind w:firstLine="72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1f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f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f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f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f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f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f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f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f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611f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611f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611f4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611f4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611f4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611f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611f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611f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611f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611f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611f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611f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611f4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611f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611f4"/>
    <w:rPr>
      <w:b/>
      <w:bCs/>
      <w:smallCaps/>
      <w:color w:themeColor="accent1" w:themeShade="bf" w:val="2F5496"/>
      <w:spacing w:val="5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be16d8"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be16d8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611f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f4"/>
    <w:pPr>
      <w:ind w:firstLine="72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f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611f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e16d8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B3C3487-47A4-43D8-BAD8-C639CE1F4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LibreOffice/24.2.7.2$Linux_X86_64 LibreOffice_project/420$Build-2</Application>
  <AppVersion>15.0000</AppVersion>
  <Pages>1</Pages>
  <Words>177</Words>
  <Characters>959</Characters>
  <CharactersWithSpaces>1127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2026-07-01T02:43:00Z</dcterms:created>
  <dc:creator>Timothy Leonard</dc:creator>
  <dc:description/>
  <dc:language>en-US</dc:language>
  <cp:lastModifiedBy>Timothy Leonard</cp:lastModifiedBy>
  <dcterms:modified xsi:type="dcterms:W3CDTF">2026-07-01T10:47:00Z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