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DejaVu Sans" w:hAnsi="DejaVu Sans"/>
        </w:rPr>
      </w:pPr>
      <w:r>
        <w:rPr>
          <w:rFonts w:ascii="DejaVu Sans" w:hAnsi="DejaVu Sans"/>
        </w:rPr>
        <w:t>Sentences typed by the player</w:t>
      </w:r>
    </w:p>
    <w:p>
      <w:pPr>
        <w:pStyle w:val="FirstParagraph"/>
        <w:rPr>
          <w:rFonts w:ascii="DejaVu Sans" w:hAnsi="DejaVu Sans"/>
        </w:rPr>
      </w:pPr>
      <w:r>
        <w:rPr>
          <w:rFonts w:ascii="DejaVu Sans" w:hAnsi="DejaVu Sans"/>
        </w:rPr>
        <w:t xml:space="preserve">All of these will be printed back as-is if the action succeeds, or printed back with </w:t>
      </w:r>
      <w:r>
        <w:rPr>
          <w:rFonts w:ascii="DejaVu Sans" w:hAnsi="DejaVu Sans"/>
          <w:i/>
          <w:iCs/>
        </w:rPr>
        <w:t>natta</w:t>
      </w:r>
      <w:r>
        <w:rPr>
          <w:rFonts w:ascii="DejaVu Sans" w:hAnsi="DejaVu Sans"/>
        </w:rPr>
        <w:t xml:space="preserve"> or </w:t>
      </w:r>
      <w:r>
        <w:rPr>
          <w:rFonts w:ascii="DejaVu Sans" w:hAnsi="DejaVu Sans"/>
          <w:i/>
          <w:iCs/>
        </w:rPr>
        <w:t>natta taruḫḫun</w:t>
      </w:r>
      <w:r>
        <w:rPr>
          <w:rFonts w:ascii="DejaVu Sans" w:hAnsi="DejaVu Sans"/>
        </w:rPr>
        <w:t xml:space="preserve"> before the verb if the action fails.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The sentence connective is optional, and all the parts between the sentence connective and the verb can be typed in any order.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PLACE-DAT pāun</w:t>
        <w:br/>
        <w:t>“I went to PLACE”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OBSTACLE-ACC šarraḫḫun</w:t>
        <w:br/>
        <w:t>“I went through OBSTACLE”</w:t>
        <w:br/>
        <w:t>Used for things like doors and windows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THING-ACC dāḫḫun</w:t>
        <w:br/>
        <w:t>“I took THING”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THING-ACC HOLDER-ABL dāḫḫun</w:t>
        <w:br/>
        <w:t>“I removed THING from HOLDER”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Note: When you take a bar off a door, HOLDER-ABL is aškaz, which you’ve said also means “outside”. Is it understandable as “from the door” in this circumstance, or should the HOLDER-ABL part be removed? If the ablative is removed from this sentence, there will be no ablatives at all in the first section, which might be nice paedagogically: make sure people are comfortable with accusatives and datives first before introducing another case.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THING-ACC ḫarkun</w:t>
        <w:br/>
        <w:t>“I held THING”</w:t>
        <w:br/>
        <w:t>Synonym for dāḫḫun “take”; never suggested, but since this verb is used in the narration, I want the game to recognize it.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THING-ACC katta tēḫḫun</w:t>
        <w:br/>
        <w:t>“I put THING down”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THING-ACC HOLDER-DAT (PREVERB) tēḫḫun</w:t>
        <w:br/>
        <w:t>“I put THING in/on/at HOLDER”</w:t>
        <w:br/>
        <w:t>The preverb is optional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nu=kan PERSON-ACC WEAPON-ABL kuenun</w:t>
        <w:br/>
        <w:t>“I slew PERSON using WEAPON”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Note: This is the only other place ablatives appear in the first section. It could easily be removed.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PERSON-ACC WEAPON-ABL taruḫḫun</w:t>
        <w:br/>
        <w:t>“I overpowered PERSON using WEAPON”</w:t>
        <w:br/>
        <w:t>Synonym for =kan kuenun “slay”; never suggested, but since this verb is used in the narration, I want the game to recognize it.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DOOR-ACC ḫašḫun</w:t>
        <w:br/>
        <w:t>“I opened DOOR”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FIRE-ACC kištanunun</w:t>
        <w:br/>
        <w:t>“I extinguished FIRE”</w:t>
      </w:r>
    </w:p>
    <w:p>
      <w:pPr>
        <w:pStyle w:val="Heading2"/>
        <w:rPr>
          <w:rFonts w:ascii="DejaVu Sans" w:hAnsi="DejaVu Sans"/>
        </w:rPr>
      </w:pPr>
      <w:r>
        <w:rPr>
          <w:rFonts w:ascii="DejaVu Sans" w:hAnsi="DejaVu Sans"/>
        </w:rPr>
        <w:t>If the player makes a mistake</w:t>
      </w:r>
    </w:p>
    <w:p>
      <w:pPr>
        <w:pStyle w:val="FirstParagraph"/>
        <w:rPr>
          <w:rFonts w:ascii="DejaVu Sans" w:hAnsi="DejaVu Sans"/>
        </w:rPr>
      </w:pPr>
      <w:r>
        <w:rPr>
          <w:rFonts w:ascii="DejaVu Sans" w:hAnsi="DejaVu Sans"/>
        </w:rPr>
        <w:t>All of these are in English. Feel free to skip the whole section. They’re comments from the fictional editor about how the fictional scribe (i.e. the player) got something wrong.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A case that doesn’t make sense, like the nominative with a first-person verb: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“</w:t>
      </w:r>
      <w:r>
        <w:rPr>
          <w:rFonts w:ascii="DejaVu Sans" w:hAnsi="DejaVu Sans"/>
          <w:i/>
          <w:iCs/>
        </w:rPr>
        <w:t>WORDS” is likely a scribal error; this is a valid noun, but the CASE case doesn’t make sense in this context.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A noun that’s not available in the current situation: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It’s unclear what “WORDS” is meant to refer to; these words are used on the tablet, but what they describe is not currently near our protagonist.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A noun that’s not recognized: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The nouns in this line are obscure, and it’s unclear what “WORDS” means.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A noun in the wrong case (e.g. pāun only wants the dative, so if it gets the accusative):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This sentence, “WORDS”, is likely a scribal error. The verb VERB expects a noun in the CASE, not the CASE: WRONGNOUN rather than RIGHTNOUN.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Anything else wrong with noun cases: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This sentence, “WORDS”, is difficult to interpret. There should/should not be a dative noun/an accusative noun/an adverb or sentence particle/etc.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The player used /undo to undo the last action: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The previous lines, starting with “WORDS”, are crossed out on the tablet and should be considered a scribal error.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Third-person instead of first-person verb: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This sentence is difficult to interpret. From context, we would expect a description of the narrator’s actions, but the verb form VERB refers to someone or something else.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Verb not at the end: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The structure of this sentence is unusual. “VERB” is a verb, and the verb should always be at the end of a Hittite sentence.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Unrecognized verb: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From its position in the sentence, we would expect “VERB” to be the main verb. But this verb is not used for the protagonist’s actions/this word is not used as a verb elsewhere on the tablet, and it is difficult to interpret here.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No verb:</w:t>
      </w:r>
    </w:p>
    <w:p>
      <w:pPr>
        <w:pStyle w:val="BodyText"/>
        <w:rPr>
          <w:rFonts w:ascii="DejaVu Sans" w:hAnsi="DejaVu Sans"/>
        </w:rPr>
      </w:pPr>
      <w:bookmarkStart w:id="0" w:name="if-the-player-makes-a-mistake"/>
      <w:bookmarkStart w:id="1" w:name="sentences-typed-by-the-player"/>
      <w:r>
        <w:rPr>
          <w:rFonts w:ascii="DejaVu Sans" w:hAnsi="DejaVu Sans"/>
          <w:i/>
          <w:iCs/>
        </w:rPr>
        <w:t>This sentence seems to be incomplete. The tablet may be damaged at this point.</w:t>
      </w:r>
      <w:bookmarkEnd w:id="0"/>
      <w:bookmarkEnd w:id="1"/>
    </w:p>
    <w:p>
      <w:pPr>
        <w:pStyle w:val="Heading1"/>
        <w:rPr>
          <w:rFonts w:ascii="DejaVu Sans" w:hAnsi="DejaVu Sans"/>
        </w:rPr>
      </w:pPr>
      <w:r>
        <w:rPr>
          <w:rFonts w:ascii="DejaVu Sans" w:hAnsi="DejaVu Sans"/>
        </w:rPr>
        <w:t>Sentences describing the player’s surroundings</w:t>
      </w:r>
    </w:p>
    <w:p>
      <w:pPr>
        <w:pStyle w:val="FirstParagraph"/>
        <w:rPr>
          <w:rFonts w:ascii="DejaVu Sans" w:hAnsi="DejaVu Sans"/>
        </w:rPr>
      </w:pPr>
      <w:r>
        <w:rPr>
          <w:rFonts w:ascii="DejaVu Sans" w:hAnsi="DejaVu Sans"/>
        </w:rPr>
        <w:t>Nu=za LOCATION-DAT PREVERB ešun.</w:t>
        <w:br/>
        <w:t>Nu=za=kan LOCATION-DAT PREVERB ešun. (if PREVERB is anda, šēr, or appa)</w:t>
        <w:br/>
        <w:t>“I was at LOCATION.”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apiya OBJECTS-ACC ōḫḫun.</w:t>
        <w:br/>
        <w:t>“I saw OBJECTS there.”</w:t>
        <w:br/>
        <w:t>(ō will appear as u-u° in cuneiform and ū in bound transcription.)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OBJECTS-NOM HOLDER-DAT PREVERB ēšta.</w:t>
        <w:br/>
        <w:t>Nu OBJECTS-NOM HOLDER-DAT PREVERB ešer.</w:t>
        <w:br/>
        <w:t>“OBJECTS were in/on/at HOLDER.”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OBJECTS-ACC ḫarkun.</w:t>
        <w:br/>
        <w:t>“I was holding OBJECTS.”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OBJECTS-ACC waššiyanun.</w:t>
        <w:br/>
        <w:t>“I was wearing OBJECTS.”</w:t>
      </w:r>
    </w:p>
    <w:p>
      <w:pPr>
        <w:pStyle w:val="BodyText"/>
        <w:rPr>
          <w:rFonts w:ascii="DejaVu Sans" w:hAnsi="DejaVu Sans"/>
        </w:rPr>
      </w:pPr>
      <w:bookmarkStart w:id="2" w:name="Xc6478fc0740ba3b53fe0a687f4b616333fcf4f2"/>
      <w:r>
        <w:rPr>
          <w:rFonts w:ascii="DejaVu Sans" w:hAnsi="DejaVu Sans"/>
        </w:rPr>
        <w:t>In all of these sentences, multiple objects will be separated by Ù, to avoid the consonant doubling that comes with the native Hittite “and” clitic.</w:t>
      </w:r>
      <w:bookmarkEnd w:id="2"/>
    </w:p>
    <w:p>
      <w:pPr>
        <w:pStyle w:val="Heading1"/>
        <w:rPr>
          <w:rFonts w:ascii="DejaVu Sans" w:hAnsi="DejaVu Sans"/>
        </w:rPr>
      </w:pPr>
      <w:r>
        <w:rPr>
          <w:rFonts w:ascii="DejaVu Sans" w:hAnsi="DejaVu Sans"/>
        </w:rPr>
        <w:t>Sentences describing basic actions</w:t>
      </w:r>
    </w:p>
    <w:p>
      <w:pPr>
        <w:pStyle w:val="Heading2"/>
        <w:rPr>
          <w:rFonts w:ascii="DejaVu Sans" w:hAnsi="DejaVu Sans"/>
        </w:rPr>
      </w:pPr>
      <w:r>
        <w:rPr>
          <w:rFonts w:ascii="DejaVu Sans" w:hAnsi="DejaVu Sans"/>
        </w:rPr>
        <w:t>Movement</w:t>
      </w:r>
    </w:p>
    <w:p>
      <w:pPr>
        <w:pStyle w:val="FirstParagraph"/>
        <w:rPr>
          <w:rFonts w:ascii="DejaVu Sans" w:hAnsi="DejaVu Sans"/>
        </w:rPr>
      </w:pPr>
      <w:r>
        <w:rPr>
          <w:rFonts w:ascii="DejaVu Sans" w:hAnsi="DejaVu Sans"/>
        </w:rPr>
        <w:t>Unable to travel because the destination is too dark: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pēdan kuit dankui ēšta, parā natta taruḫḫun pāun.</w:t>
        <w:br/>
        <w:t>“Because the place was dark, I could not go onward.”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pēdan kuit dankui ēšta, OBSTACLE-ACC natta taruḫḫun šarraḫḫun.</w:t>
        <w:br/>
        <w:t>“Because the place was dark, I could not go through OBSTACLE.”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Unable to go to the current location: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Nu=za apēdani pēdi karū ešun.</w:t>
        <w:br/>
        <w:t>“I was already in that place.”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 xml:space="preserve">Attempted to use </w:t>
      </w:r>
      <w:r>
        <w:rPr>
          <w:rFonts w:ascii="DejaVu Sans" w:hAnsi="DejaVu Sans"/>
          <w:i/>
          <w:iCs/>
        </w:rPr>
        <w:t>pāun</w:t>
      </w:r>
      <w:r>
        <w:rPr>
          <w:rFonts w:ascii="DejaVu Sans" w:hAnsi="DejaVu Sans"/>
        </w:rPr>
        <w:t xml:space="preserve"> with a door or window instead of a place: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This line is likely a scribal error. The verb (span @hittite) pāun “go” is generally used with locations, not objects; for things like doors and thresholds, the verb (span @hittite) šarraḫḫun “pass through” is used instead.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 xml:space="preserve">Attempted to use </w:t>
      </w:r>
      <w:r>
        <w:rPr>
          <w:rFonts w:ascii="DejaVu Sans" w:hAnsi="DejaVu Sans"/>
          <w:i/>
          <w:iCs/>
        </w:rPr>
        <w:t>šarraḫḫun</w:t>
      </w:r>
      <w:r>
        <w:rPr>
          <w:rFonts w:ascii="DejaVu Sans" w:hAnsi="DejaVu Sans"/>
        </w:rPr>
        <w:t xml:space="preserve"> with a place instead of an obstacle: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This line is likely a scribal error. The verb (span @hittite) šaraḫḫun “pass through” is generally used with things like doors and thresholds. For going to a place, the verb (span @hittite) pāun is used instead.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Unable to go through a closed door:</w:t>
      </w:r>
    </w:p>
    <w:p>
      <w:pPr>
        <w:pStyle w:val="BodyText"/>
        <w:rPr>
          <w:rFonts w:ascii="DejaVu Sans" w:hAnsi="DejaVu Sans"/>
        </w:rPr>
      </w:pPr>
      <w:bookmarkStart w:id="3" w:name="movement"/>
      <w:r>
        <w:rPr>
          <w:rFonts w:ascii="DejaVu Sans" w:hAnsi="DejaVu Sans"/>
        </w:rPr>
        <w:t>Nu DOOR-NOM ḫattalwantaš ēšta.</w:t>
        <w:br/>
        <w:t>“The door was closed.”</w:t>
      </w:r>
      <w:bookmarkEnd w:id="3"/>
    </w:p>
    <w:p>
      <w:pPr>
        <w:pStyle w:val="Heading2"/>
        <w:rPr>
          <w:rFonts w:ascii="DejaVu Sans" w:hAnsi="DejaVu Sans"/>
        </w:rPr>
      </w:pPr>
      <w:r>
        <w:rPr>
          <w:rFonts w:ascii="DejaVu Sans" w:hAnsi="DejaVu Sans"/>
        </w:rPr>
        <w:t>Taking, dropping, putting</w:t>
      </w:r>
    </w:p>
    <w:p>
      <w:pPr>
        <w:pStyle w:val="FirstParagraph"/>
        <w:rPr>
          <w:rFonts w:ascii="DejaVu Sans" w:hAnsi="DejaVu Sans"/>
        </w:rPr>
      </w:pPr>
      <w:r>
        <w:rPr>
          <w:rFonts w:ascii="DejaVu Sans" w:hAnsi="DejaVu Sans"/>
        </w:rPr>
        <w:t>Tried to take something from the wrong location: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THING-NOM natta HOLDER-DAT PREVERB ēšta.</w:t>
        <w:br/>
        <w:t>“The THING was not PREVERB the HOLDER.”</w:t>
        <w:br/>
        <w:t>(Note: I’m currently not distinguishing preverbs from postpositions when used to describe positioning. Will that become a problem later?)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Tried to take something too large: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N=aš mekki nakkiš ēšta.</w:t>
        <w:br/>
        <w:t>N=at mekki nakki ēšta.</w:t>
        <w:br/>
        <w:t>“It was very heavy.”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Tried to take something already held: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N=an karū ḫarkun.</w:t>
        <w:br/>
        <w:t>N=at karū ḫarkun.</w:t>
        <w:br/>
        <w:t>“I already held it.”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Tried to “put” (tēḫḫun) something that is not held: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N=an natta ḫarkun.</w:t>
        <w:br/>
        <w:t>N=at natta ḫarkun.</w:t>
        <w:br/>
        <w:t>“I was not holding it.”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Tried to put something in an invalid place (e.g. putting a river into a ladder):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Spatial relations in Hittite are a complicated topic, and it’s not clear what arrangement the scribe was envisioning between the OBJ-ACC and the HOLDER-DAT. Whatever that arrangement was, it doesn’t seem to have worked.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Tried to put something without specifying a destination (katta or a dative noun):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This sentence seems to be incomplete. The verb (span @hittite) tēḫḫun should include a destination: either a noun in the dative, or an adverb like (span @hittite) katta “down” ( on the ground ) .</w:t>
      </w:r>
    </w:p>
    <w:p>
      <w:pPr>
        <w:pStyle w:val="BodyText"/>
        <w:rPr>
          <w:rFonts w:ascii="DejaVu Sans" w:hAnsi="DejaVu Sans"/>
        </w:rPr>
      </w:pPr>
      <w:bookmarkStart w:id="4" w:name="taking-dropping-putting"/>
      <w:r>
        <w:rPr>
          <w:rFonts w:ascii="DejaVu Sans" w:hAnsi="DejaVu Sans"/>
        </w:rPr>
        <w:t>Those last two seemed easier to express in English than Hittite, so the fictional editor of these tablets just comments on the sentences being anomalous and moves on.</w:t>
      </w:r>
      <w:bookmarkEnd w:id="4"/>
    </w:p>
    <w:p>
      <w:pPr>
        <w:pStyle w:val="Heading2"/>
        <w:rPr>
          <w:rFonts w:ascii="DejaVu Sans" w:hAnsi="DejaVu Sans"/>
        </w:rPr>
      </w:pPr>
      <w:r>
        <w:rPr>
          <w:rFonts w:ascii="DejaVu Sans" w:hAnsi="DejaVu Sans"/>
        </w:rPr>
        <w:t>Other actions</w:t>
      </w:r>
    </w:p>
    <w:p>
      <w:pPr>
        <w:pStyle w:val="FirstParagraph"/>
        <w:rPr>
          <w:rFonts w:ascii="DejaVu Sans" w:hAnsi="DejaVu Sans"/>
        </w:rPr>
      </w:pPr>
      <w:r>
        <w:rPr>
          <w:rFonts w:ascii="DejaVu Sans" w:hAnsi="DejaVu Sans"/>
        </w:rPr>
        <w:t>Tried to slay without =kan: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i/>
          <w:iCs/>
        </w:rPr>
        <w:t>This sentence is likely a scribal error. The verb (span @hittite) kuenun “slay” requires the sentence particle =kan to be attached to the first word of the sentence.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Tried to slay something that is not alive: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N=aš antuḫšaš natta ēšta.</w:t>
        <w:br/>
        <w:t>N=at antuḫšaš natta ēšta.</w:t>
        <w:br/>
        <w:t>“It was not a person.”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Tried to slay while not holding the specified weapon:</w:t>
      </w:r>
    </w:p>
    <w:p>
      <w:pPr>
        <w:pStyle w:val="BodyText"/>
        <w:rPr>
          <w:rFonts w:ascii="DejaVu Sans" w:hAnsi="DejaVu Sans"/>
        </w:rPr>
      </w:pPr>
      <w:bookmarkStart w:id="5" w:name="other-actions"/>
      <w:bookmarkStart w:id="6" w:name="sentences-describing-basic-actions"/>
      <w:r>
        <w:rPr>
          <w:rFonts w:ascii="DejaVu Sans" w:hAnsi="DejaVu Sans"/>
        </w:rPr>
        <w:t>Nu WEAPON-ACC natta ḫarkun.</w:t>
      </w:r>
      <w:bookmarkEnd w:id="5"/>
      <w:bookmarkEnd w:id="6"/>
    </w:p>
    <w:p>
      <w:pPr>
        <w:pStyle w:val="Heading1"/>
        <w:rPr>
          <w:rFonts w:ascii="DejaVu Sans" w:hAnsi="DejaVu Sans"/>
        </w:rPr>
      </w:pPr>
      <w:r>
        <w:rPr>
          <w:rFonts w:ascii="DejaVu Sans" w:hAnsi="DejaVu Sans"/>
        </w:rPr>
        <w:t>Sentences describing specific situations</w:t>
      </w:r>
    </w:p>
    <w:p>
      <w:pPr>
        <w:pStyle w:val="FirstParagraph"/>
        <w:rPr>
          <w:rFonts w:ascii="DejaVu Sans" w:hAnsi="DejaVu Sans"/>
        </w:rPr>
      </w:pPr>
      <w:r>
        <w:rPr>
          <w:rFonts w:ascii="DejaVu Sans" w:hAnsi="DejaVu Sans"/>
        </w:rPr>
        <w:t>Filling a vessel with water: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wātar VESSEL-DAT tēḫḫun.</w:t>
        <w:br/>
        <w:t>“I put the water in the VESSEL.”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Trying to take water without having a vessel: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wātar natta taruḫḫun ḫarkun.</w:t>
        <w:br/>
        <w:t>“I could not hold the water.”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Trying to enter a window that’s out of reach: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N=at parku ēšta.</w:t>
        <w:br/>
        <w:t>“It was high up.”</w:t>
        <w:br/>
        <w:t xml:space="preserve">(Neuter to agree with </w:t>
      </w:r>
      <w:r>
        <w:rPr>
          <w:rFonts w:ascii="DejaVu Sans" w:hAnsi="DejaVu Sans"/>
          <w:i/>
          <w:iCs/>
        </w:rPr>
        <w:t>luttāi</w:t>
      </w:r>
      <w:r>
        <w:rPr>
          <w:rFonts w:ascii="DejaVu Sans" w:hAnsi="DejaVu Sans"/>
        </w:rPr>
        <w:t>)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Opening a gate: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āškan ḫašḫun.</w:t>
        <w:br/>
        <w:t>“I opened the gate.”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Lighting a piece of wood on fire: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WOOD-NOM lukket.</w:t>
        <w:br/>
        <w:t>“The WOOD ignited.”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Failing to extinguish a fire: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wātar natta ḫarkun.</w:t>
        <w:br/>
        <w:t>“I did not have water.”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Trying to reach into a fire: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paḫḫur änza ēšta.</w:t>
        <w:br/>
        <w:t>“The fire was hot.”</w:t>
        <w:br/>
        <w:t>(ä will appear as a-a-a° in cuneiform and ā in bound transcription.)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Successfully extinguishing a fire: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wātar paḫḫeni tēḫḫun. N=at kištanunun.</w:t>
        <w:br/>
        <w:t>“I put water on the fire. I extinguished it.”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Trying to climb onto a roof that’s out of reach: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šuḫḫa parku ēšta.</w:t>
        <w:br/>
        <w:t>“The roof was high up.”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Trying to carry a heavy pithos up a ladder to the roof: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{DUG}^palḫiš nakkiš ēšta.</w:t>
        <w:br/>
        <w:t>“The pithos was heavy.”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Trying to walk openly into the enemy city: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Nu URU {LÚ}^KÚR natta pāun.</w:t>
        <w:br/>
        <w:t>“I did not go into the enemy city.”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Trying to enter the temple precinct without washing:</w:t>
      </w:r>
    </w:p>
    <w:p>
      <w:pPr>
        <w:pStyle w:val="BodyText"/>
        <w:spacing w:before="180" w:after="180"/>
        <w:rPr>
          <w:rFonts w:ascii="DejaVu Sans" w:hAnsi="DejaVu Sans"/>
        </w:rPr>
      </w:pPr>
      <w:bookmarkStart w:id="7" w:name="sentences-describing-specific-situations"/>
      <w:r>
        <w:rPr>
          <w:rFonts w:ascii="DejaVu Sans" w:hAnsi="DejaVu Sans"/>
        </w:rPr>
        <w:t>Nu=za šaknuwanza ešun. Nu wātar natta ḫarkun.</w:t>
        <w:br/>
        <w:t>“I was ritually impure. I did not have water.”</w:t>
      </w:r>
      <w:bookmarkEnd w:id="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6</Pages>
  <Words>1422</Words>
  <Characters>7041</Characters>
  <CharactersWithSpaces>8359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2026-07-01T00:48:30Z</dcterms:created>
  <dc:creator/>
  <dc:description/>
  <dc:language>en-US</dc:language>
  <cp:lastModifiedBy/>
  <dcterms:modified xsi:type="dcterms:W3CDTF">2026-07-01T12:59:47Z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