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D7C" w:rsidRDefault="00022FA2">
      <w:r>
        <w:t xml:space="preserve">Darren </w:t>
      </w:r>
    </w:p>
    <w:p w:rsidR="00022FA2" w:rsidRDefault="00022FA2"/>
    <w:p w:rsidR="00022FA2" w:rsidRDefault="00022FA2">
      <w:r>
        <w:t>Synthetic control arm paper</w:t>
      </w:r>
    </w:p>
    <w:p w:rsidR="00022FA2" w:rsidRDefault="00022FA2"/>
    <w:p w:rsidR="00022FA2" w:rsidRDefault="00022FA2">
      <w:proofErr w:type="gramStart"/>
      <w:r>
        <w:t>Two  files</w:t>
      </w:r>
      <w:proofErr w:type="gramEnd"/>
      <w:r>
        <w:t xml:space="preserve"> are linked by the study number</w:t>
      </w:r>
    </w:p>
    <w:p w:rsidR="00022FA2" w:rsidRDefault="00022FA2"/>
    <w:p w:rsidR="00022FA2" w:rsidRDefault="00022FA2">
      <w:r>
        <w:t xml:space="preserve">We are interested in treatment == </w:t>
      </w:r>
      <w:proofErr w:type="spellStart"/>
      <w:r>
        <w:t>avastin</w:t>
      </w:r>
      <w:proofErr w:type="spellEnd"/>
      <w:r>
        <w:t xml:space="preserve"> arm</w:t>
      </w:r>
    </w:p>
    <w:p w:rsidR="00022FA2" w:rsidRDefault="00022FA2"/>
    <w:p w:rsidR="00022FA2" w:rsidRDefault="00022FA2">
      <w:r>
        <w:t>Vast0= visit at 0 weeks (baseline), Vast1= week 1 visit</w:t>
      </w:r>
    </w:p>
    <w:p w:rsidR="00022FA2" w:rsidRDefault="00022FA2"/>
    <w:p w:rsidR="00022FA2" w:rsidRPr="00022FA2" w:rsidRDefault="00022FA2" w:rsidP="00022FA2">
      <w:pPr>
        <w:spacing w:after="0" w:line="240" w:lineRule="auto"/>
        <w:rPr>
          <w:rFonts w:ascii="Arial" w:eastAsia="Times New Roman" w:hAnsi="Arial" w:cs="Arial"/>
          <w:sz w:val="20"/>
          <w:szCs w:val="20"/>
          <w:lang w:eastAsia="en-GB"/>
        </w:rPr>
      </w:pPr>
      <w:proofErr w:type="spellStart"/>
      <w:r w:rsidRPr="00022FA2">
        <w:rPr>
          <w:rFonts w:ascii="Arial" w:eastAsia="Times New Roman" w:hAnsi="Arial" w:cs="Arial"/>
          <w:sz w:val="20"/>
          <w:szCs w:val="20"/>
          <w:lang w:eastAsia="en-GB"/>
        </w:rPr>
        <w:t>avastintrt</w:t>
      </w:r>
      <w:proofErr w:type="spellEnd"/>
    </w:p>
    <w:p w:rsidR="00022FA2" w:rsidRDefault="00022FA2">
      <w:r>
        <w:t xml:space="preserve"> = number of </w:t>
      </w:r>
      <w:proofErr w:type="spellStart"/>
      <w:r>
        <w:t>avastin</w:t>
      </w:r>
      <w:proofErr w:type="spellEnd"/>
      <w:r>
        <w:t xml:space="preserve"> treatments </w:t>
      </w:r>
      <w:proofErr w:type="gramStart"/>
      <w:r>
        <w:t>actually given</w:t>
      </w:r>
      <w:proofErr w:type="gramEnd"/>
      <w:r>
        <w:t xml:space="preserve"> to week 54</w:t>
      </w:r>
    </w:p>
    <w:p w:rsidR="00022FA2" w:rsidRDefault="00022FA2"/>
    <w:p w:rsidR="00022FA2" w:rsidRDefault="00022FA2"/>
    <w:p w:rsidR="00022FA2" w:rsidRDefault="00022FA2">
      <w:pPr>
        <w:rPr>
          <w:b/>
          <w:bCs/>
        </w:rPr>
      </w:pPr>
      <w:r w:rsidRPr="00022FA2">
        <w:rPr>
          <w:b/>
          <w:bCs/>
        </w:rPr>
        <w:t>Analysis</w:t>
      </w:r>
      <w:r>
        <w:rPr>
          <w:b/>
          <w:bCs/>
        </w:rPr>
        <w:t xml:space="preserve"> Plan</w:t>
      </w:r>
    </w:p>
    <w:p w:rsidR="00022FA2" w:rsidRDefault="00022FA2">
      <w:pPr>
        <w:rPr>
          <w:b/>
          <w:bCs/>
        </w:rPr>
      </w:pPr>
      <w:r>
        <w:rPr>
          <w:b/>
          <w:bCs/>
        </w:rPr>
        <w:t xml:space="preserve">Select </w:t>
      </w:r>
      <w:proofErr w:type="gramStart"/>
      <w:r>
        <w:rPr>
          <w:b/>
          <w:bCs/>
        </w:rPr>
        <w:t>out patients</w:t>
      </w:r>
      <w:proofErr w:type="gramEnd"/>
      <w:r>
        <w:rPr>
          <w:b/>
          <w:bCs/>
        </w:rPr>
        <w:t xml:space="preserve"> with </w:t>
      </w:r>
      <w:proofErr w:type="spellStart"/>
      <w:r>
        <w:rPr>
          <w:b/>
          <w:bCs/>
        </w:rPr>
        <w:t>avastin</w:t>
      </w:r>
      <w:proofErr w:type="spellEnd"/>
      <w:r>
        <w:rPr>
          <w:b/>
          <w:bCs/>
        </w:rPr>
        <w:t xml:space="preserve"> treatment only </w:t>
      </w:r>
    </w:p>
    <w:p w:rsidR="00022FA2" w:rsidRDefault="00022FA2">
      <w:pPr>
        <w:rPr>
          <w:b/>
          <w:bCs/>
        </w:rPr>
      </w:pPr>
    </w:p>
    <w:p w:rsidR="00022FA2" w:rsidRDefault="00022FA2">
      <w:pPr>
        <w:rPr>
          <w:b/>
          <w:bCs/>
        </w:rPr>
      </w:pPr>
      <w:r>
        <w:rPr>
          <w:b/>
          <w:bCs/>
        </w:rPr>
        <w:t xml:space="preserve">Match the following variables for each </w:t>
      </w:r>
      <w:proofErr w:type="spellStart"/>
      <w:r>
        <w:rPr>
          <w:b/>
          <w:bCs/>
        </w:rPr>
        <w:t>avastin</w:t>
      </w:r>
      <w:proofErr w:type="spellEnd"/>
      <w:r>
        <w:rPr>
          <w:b/>
          <w:bCs/>
        </w:rPr>
        <w:t xml:space="preserve"> treated patient to all possible matches treated with </w:t>
      </w:r>
      <w:proofErr w:type="spellStart"/>
      <w:r>
        <w:rPr>
          <w:b/>
          <w:bCs/>
        </w:rPr>
        <w:t>Eylea</w:t>
      </w:r>
      <w:proofErr w:type="spellEnd"/>
      <w:r>
        <w:rPr>
          <w:b/>
          <w:bCs/>
        </w:rPr>
        <w:t xml:space="preserve"> (aflibercept) for the first 54+ weeks of treatment in the EMR dataset</w:t>
      </w:r>
      <w:r w:rsidR="00472055">
        <w:rPr>
          <w:b/>
          <w:bCs/>
        </w:rPr>
        <w:t xml:space="preserve">.  </w:t>
      </w:r>
      <w:proofErr w:type="spellStart"/>
      <w:r w:rsidR="00472055">
        <w:rPr>
          <w:b/>
          <w:bCs/>
        </w:rPr>
        <w:t>Aflibercpet</w:t>
      </w:r>
      <w:proofErr w:type="spellEnd"/>
      <w:r w:rsidR="00472055">
        <w:rPr>
          <w:b/>
          <w:bCs/>
        </w:rPr>
        <w:t xml:space="preserve"> patient </w:t>
      </w:r>
      <w:proofErr w:type="spellStart"/>
      <w:r w:rsidR="00472055">
        <w:rPr>
          <w:b/>
          <w:bCs/>
        </w:rPr>
        <w:t>myst</w:t>
      </w:r>
      <w:proofErr w:type="spellEnd"/>
      <w:r w:rsidR="00472055">
        <w:rPr>
          <w:b/>
          <w:bCs/>
        </w:rPr>
        <w:t xml:space="preserve"> have&gt;=7 and a second study of &gt;=8 treatment in 54 weeks</w:t>
      </w:r>
    </w:p>
    <w:p w:rsidR="00472055" w:rsidRDefault="00472055">
      <w:pPr>
        <w:rPr>
          <w:b/>
          <w:bCs/>
        </w:rPr>
      </w:pPr>
    </w:p>
    <w:p w:rsidR="00472055" w:rsidRPr="00472055" w:rsidRDefault="00472055">
      <w:proofErr w:type="spellStart"/>
      <w:r w:rsidRPr="00472055">
        <w:t>Mactch</w:t>
      </w:r>
      <w:proofErr w:type="spellEnd"/>
      <w:r w:rsidRPr="00472055">
        <w:t xml:space="preserve"> 1</w:t>
      </w:r>
    </w:p>
    <w:p w:rsidR="00022FA2" w:rsidRDefault="00022FA2">
      <w:pPr>
        <w:rPr>
          <w:b/>
          <w:bCs/>
        </w:rPr>
      </w:pPr>
      <w:r>
        <w:rPr>
          <w:b/>
          <w:bCs/>
        </w:rPr>
        <w:t>Baseline VA</w:t>
      </w:r>
    </w:p>
    <w:p w:rsidR="00022FA2" w:rsidRDefault="00022FA2">
      <w:pPr>
        <w:rPr>
          <w:b/>
          <w:bCs/>
        </w:rPr>
      </w:pPr>
      <w:r>
        <w:rPr>
          <w:b/>
          <w:bCs/>
        </w:rPr>
        <w:t>Age</w:t>
      </w:r>
    </w:p>
    <w:p w:rsidR="00472055" w:rsidRDefault="00472055">
      <w:pPr>
        <w:rPr>
          <w:b/>
          <w:bCs/>
        </w:rPr>
      </w:pPr>
    </w:p>
    <w:p w:rsidR="00472055" w:rsidRDefault="00472055">
      <w:pPr>
        <w:rPr>
          <w:b/>
          <w:bCs/>
        </w:rPr>
      </w:pPr>
      <w:r>
        <w:rPr>
          <w:b/>
          <w:bCs/>
        </w:rPr>
        <w:t>OCT thickness if available</w:t>
      </w:r>
    </w:p>
    <w:p w:rsidR="00472055" w:rsidRDefault="00472055">
      <w:pPr>
        <w:rPr>
          <w:b/>
          <w:bCs/>
        </w:rPr>
      </w:pPr>
      <w:r>
        <w:rPr>
          <w:b/>
          <w:bCs/>
        </w:rPr>
        <w:t xml:space="preserve">PED if available </w:t>
      </w:r>
      <w:proofErr w:type="gramStart"/>
      <w:r>
        <w:rPr>
          <w:b/>
          <w:bCs/>
        </w:rPr>
        <w:t>( presence</w:t>
      </w:r>
      <w:proofErr w:type="gramEnd"/>
      <w:r>
        <w:rPr>
          <w:b/>
          <w:bCs/>
        </w:rPr>
        <w:t xml:space="preserve"> or absence_</w:t>
      </w:r>
    </w:p>
    <w:p w:rsidR="00022FA2" w:rsidRDefault="00472055">
      <w:pPr>
        <w:rPr>
          <w:b/>
          <w:bCs/>
        </w:rPr>
      </w:pPr>
      <w:proofErr w:type="gramStart"/>
      <w:r>
        <w:rPr>
          <w:b/>
          <w:bCs/>
        </w:rPr>
        <w:t>( see</w:t>
      </w:r>
      <w:proofErr w:type="gramEnd"/>
      <w:r>
        <w:rPr>
          <w:b/>
          <w:bCs/>
        </w:rPr>
        <w:t xml:space="preserve"> paper 1 – for tolerance of match )</w:t>
      </w:r>
    </w:p>
    <w:p w:rsidR="00472055" w:rsidRDefault="00472055">
      <w:pPr>
        <w:rPr>
          <w:b/>
          <w:bCs/>
        </w:rPr>
      </w:pPr>
    </w:p>
    <w:p w:rsidR="00472055" w:rsidRDefault="00472055">
      <w:pPr>
        <w:rPr>
          <w:b/>
          <w:bCs/>
        </w:rPr>
      </w:pPr>
      <w:r>
        <w:rPr>
          <w:b/>
          <w:bCs/>
        </w:rPr>
        <w:t xml:space="preserve">Generate CI by </w:t>
      </w:r>
      <w:proofErr w:type="gramStart"/>
      <w:r>
        <w:rPr>
          <w:b/>
          <w:bCs/>
        </w:rPr>
        <w:t>bootstrapping  al</w:t>
      </w:r>
      <w:proofErr w:type="gramEnd"/>
      <w:r>
        <w:rPr>
          <w:b/>
          <w:bCs/>
        </w:rPr>
        <w:t xml:space="preserve"> </w:t>
      </w:r>
      <w:proofErr w:type="spellStart"/>
      <w:r>
        <w:rPr>
          <w:b/>
          <w:bCs/>
        </w:rPr>
        <w:t>lthe</w:t>
      </w:r>
      <w:proofErr w:type="spellEnd"/>
      <w:r>
        <w:rPr>
          <w:b/>
          <w:bCs/>
        </w:rPr>
        <w:t xml:space="preserve"> matching patients without replacement</w:t>
      </w:r>
    </w:p>
    <w:p w:rsidR="00472055" w:rsidRDefault="00472055">
      <w:pPr>
        <w:rPr>
          <w:b/>
          <w:bCs/>
        </w:rPr>
      </w:pPr>
    </w:p>
    <w:p w:rsidR="00472055" w:rsidRDefault="00472055">
      <w:pPr>
        <w:rPr>
          <w:b/>
          <w:bCs/>
        </w:rPr>
      </w:pPr>
      <w:r>
        <w:rPr>
          <w:b/>
          <w:bCs/>
        </w:rPr>
        <w:t xml:space="preserve">Analysis </w:t>
      </w:r>
    </w:p>
    <w:p w:rsidR="00472055" w:rsidRDefault="00472055">
      <w:pPr>
        <w:rPr>
          <w:b/>
          <w:bCs/>
        </w:rPr>
      </w:pPr>
      <w:r>
        <w:rPr>
          <w:b/>
          <w:bCs/>
        </w:rPr>
        <w:lastRenderedPageBreak/>
        <w:t>Mean change in VA over time</w:t>
      </w:r>
    </w:p>
    <w:p w:rsidR="00472055" w:rsidRDefault="00472055">
      <w:pPr>
        <w:rPr>
          <w:b/>
          <w:bCs/>
        </w:rPr>
      </w:pPr>
      <w:r>
        <w:rPr>
          <w:b/>
          <w:bCs/>
        </w:rPr>
        <w:t>Time to 5/15 letter loss or gain (KM plots)</w:t>
      </w:r>
    </w:p>
    <w:p w:rsidR="00472055" w:rsidRDefault="00472055">
      <w:pPr>
        <w:rPr>
          <w:b/>
          <w:bCs/>
        </w:rPr>
      </w:pPr>
    </w:p>
    <w:p w:rsidR="00472055" w:rsidRDefault="00472055">
      <w:pPr>
        <w:rPr>
          <w:b/>
          <w:bCs/>
        </w:rPr>
      </w:pPr>
      <w:r>
        <w:rPr>
          <w:b/>
          <w:bCs/>
        </w:rPr>
        <w:t>Match 2</w:t>
      </w:r>
    </w:p>
    <w:p w:rsidR="00472055" w:rsidRDefault="00472055">
      <w:pPr>
        <w:rPr>
          <w:b/>
          <w:bCs/>
        </w:rPr>
      </w:pPr>
      <w:r>
        <w:rPr>
          <w:b/>
          <w:bCs/>
        </w:rPr>
        <w:t xml:space="preserve">Visual acuity change at 12 weeks – match with (XX – </w:t>
      </w:r>
      <w:proofErr w:type="gramStart"/>
      <w:r>
        <w:rPr>
          <w:b/>
          <w:bCs/>
        </w:rPr>
        <w:t>tolerance )</w:t>
      </w:r>
      <w:proofErr w:type="gramEnd"/>
    </w:p>
    <w:p w:rsidR="00472055" w:rsidRDefault="00472055">
      <w:pPr>
        <w:rPr>
          <w:b/>
          <w:bCs/>
        </w:rPr>
      </w:pPr>
      <w:r>
        <w:rPr>
          <w:b/>
          <w:bCs/>
        </w:rPr>
        <w:t>(see paper 2)</w:t>
      </w:r>
    </w:p>
    <w:p w:rsidR="00472055" w:rsidRDefault="00472055">
      <w:pPr>
        <w:rPr>
          <w:b/>
          <w:bCs/>
        </w:rPr>
      </w:pPr>
    </w:p>
    <w:p w:rsidR="00472055" w:rsidRDefault="00472055">
      <w:pPr>
        <w:rPr>
          <w:b/>
          <w:bCs/>
        </w:rPr>
      </w:pPr>
    </w:p>
    <w:p w:rsidR="00472055" w:rsidRPr="00472055" w:rsidRDefault="00472055">
      <w:r w:rsidRPr="00472055">
        <w:t>Paper 1</w:t>
      </w:r>
    </w:p>
    <w:p w:rsidR="00472055" w:rsidRPr="00472055" w:rsidRDefault="00472055" w:rsidP="00472055">
      <w:pPr>
        <w:rPr>
          <w:b/>
          <w:bCs/>
        </w:rPr>
      </w:pPr>
      <w:r w:rsidRPr="00472055">
        <w:rPr>
          <w:b/>
          <w:bCs/>
        </w:rPr>
        <w:t>Baseline Predictors for One-Year Visual Outcomes with Ranibizumab or Bevacizumab for Neovascular Age-related Macular Degeneration</w:t>
      </w:r>
    </w:p>
    <w:p w:rsidR="00472055" w:rsidRPr="00472055" w:rsidRDefault="00472055" w:rsidP="00472055">
      <w:pPr>
        <w:rPr>
          <w:b/>
          <w:bCs/>
        </w:rPr>
      </w:pPr>
      <w:proofErr w:type="spellStart"/>
      <w:r w:rsidRPr="00472055">
        <w:rPr>
          <w:b/>
          <w:bCs/>
        </w:rPr>
        <w:t>Gui-shuang</w:t>
      </w:r>
      <w:proofErr w:type="spellEnd"/>
      <w:r w:rsidRPr="00472055">
        <w:rPr>
          <w:b/>
          <w:bCs/>
        </w:rPr>
        <w:t xml:space="preserve"> Ying, PhD,1,2,3 </w:t>
      </w:r>
      <w:proofErr w:type="spellStart"/>
      <w:r w:rsidRPr="00472055">
        <w:rPr>
          <w:b/>
          <w:bCs/>
        </w:rPr>
        <w:t>Jiayan</w:t>
      </w:r>
      <w:proofErr w:type="spellEnd"/>
      <w:r w:rsidRPr="00472055">
        <w:rPr>
          <w:b/>
          <w:bCs/>
        </w:rPr>
        <w:t xml:space="preserve"> Huang, MS,1,2 Maureen G. Maguire, PhD,1,2,3 Glenn J. Jaffe, MD,4 Juan E. Grunwald, MD,1,2 Cynthia Toth, MD,4 Ebenezer Daniel, MBBS, MS, MPH,1,2 Michael Klein, MD,5 Dante </w:t>
      </w:r>
      <w:proofErr w:type="spellStart"/>
      <w:r w:rsidRPr="00472055">
        <w:rPr>
          <w:b/>
          <w:bCs/>
        </w:rPr>
        <w:t>Pieramici</w:t>
      </w:r>
      <w:proofErr w:type="spellEnd"/>
      <w:r w:rsidRPr="00472055">
        <w:rPr>
          <w:b/>
          <w:bCs/>
        </w:rPr>
        <w:t>, MD,6 John Wells, MD,7 Daniel F. Martin, MD,8 on behalf of the Comparison of Age-related Macular Degeneration Treatments Trials Research Group*</w:t>
      </w:r>
    </w:p>
    <w:p w:rsidR="00472055" w:rsidRPr="00472055" w:rsidRDefault="00472055" w:rsidP="00472055">
      <w:pPr>
        <w:rPr>
          <w:b/>
          <w:bCs/>
        </w:rPr>
      </w:pPr>
      <w:r w:rsidRPr="00472055">
        <w:rPr>
          <w:b/>
          <w:bCs/>
        </w:rPr>
        <w:t xml:space="preserve">Objective: To determine the baseline predictors of visual acuity (VA) outcomes 1 year after treatment with ranibizumab or bevacizumab for neovascular age-related macular degeneration (AMD). Design: Cohort study within the Comparison of Age-related Macular Degeneration Treatments Trials (CATT). Participants: A total of 1105 participants with neovascular AMD, baseline VA 20/25 to 20/320, and VA measured at 1 year. Methods: Participants were randomly assigned to ranibizumab or bevacizumab on a monthly or as-needed schedule. Masked readers evaluated fundus morphology and features on optical coherence tomography (OCT). Visual acuity was measured using electronic VA testing. Independent predictors were identified using regression techniques. Main Outcome Measures: The VA score, VA score change from baseline, and </w:t>
      </w:r>
      <w:r w:rsidRPr="00472055">
        <w:rPr>
          <w:rFonts w:ascii="Segoe UI Historic" w:hAnsi="Segoe UI Historic" w:cs="Segoe UI Historic"/>
          <w:b/>
          <w:bCs/>
        </w:rPr>
        <w:t>ⱖ</w:t>
      </w:r>
      <w:r w:rsidRPr="00472055">
        <w:rPr>
          <w:b/>
          <w:bCs/>
        </w:rPr>
        <w:t>3-line gain at 1 year. Results: At 1 year, the mean VA score was 68 letters, mean improvement from baseline was 7 letters, and</w:t>
      </w:r>
    </w:p>
    <w:p w:rsidR="00472055" w:rsidRPr="00472055" w:rsidRDefault="00472055" w:rsidP="00472055">
      <w:pPr>
        <w:rPr>
          <w:b/>
          <w:bCs/>
        </w:rPr>
      </w:pPr>
      <w:r w:rsidRPr="00472055">
        <w:rPr>
          <w:b/>
          <w:bCs/>
        </w:rPr>
        <w:t xml:space="preserve">28% of participants gained </w:t>
      </w:r>
      <w:r w:rsidRPr="00472055">
        <w:rPr>
          <w:rFonts w:ascii="Segoe UI Historic" w:hAnsi="Segoe UI Historic" w:cs="Segoe UI Historic"/>
          <w:b/>
          <w:bCs/>
        </w:rPr>
        <w:t>ⱖ</w:t>
      </w:r>
      <w:r w:rsidRPr="00472055">
        <w:rPr>
          <w:b/>
          <w:bCs/>
        </w:rPr>
        <w:t xml:space="preserve">3 lines. Older age, larger area of choroidal neovascularization (CNV), and elevation of retinal pigment epithelium (RPE) were associated with worse VA (all P </w:t>
      </w:r>
      <w:r w:rsidRPr="00472055">
        <w:rPr>
          <w:rFonts w:ascii="Cambria Math" w:hAnsi="Cambria Math" w:cs="Cambria Math"/>
          <w:b/>
          <w:bCs/>
        </w:rPr>
        <w:t>⬍</w:t>
      </w:r>
      <w:r w:rsidRPr="00472055">
        <w:rPr>
          <w:b/>
          <w:bCs/>
        </w:rPr>
        <w:t xml:space="preserve"> 0.005), less gain in VA (all P </w:t>
      </w:r>
      <w:r w:rsidRPr="00472055">
        <w:rPr>
          <w:rFonts w:ascii="Cambria Math" w:hAnsi="Cambria Math" w:cs="Cambria Math"/>
          <w:b/>
          <w:bCs/>
        </w:rPr>
        <w:t>⬍</w:t>
      </w:r>
      <w:r w:rsidRPr="00472055">
        <w:rPr>
          <w:b/>
          <w:bCs/>
        </w:rPr>
        <w:t xml:space="preserve"> 0.02), and a lower proportion gaining </w:t>
      </w:r>
      <w:r w:rsidRPr="00472055">
        <w:rPr>
          <w:rFonts w:ascii="Segoe UI Historic" w:hAnsi="Segoe UI Historic" w:cs="Segoe UI Historic"/>
          <w:b/>
          <w:bCs/>
        </w:rPr>
        <w:t>ⱖ</w:t>
      </w:r>
      <w:r w:rsidRPr="00472055">
        <w:rPr>
          <w:b/>
          <w:bCs/>
        </w:rPr>
        <w:t xml:space="preserve">3 lines (all P </w:t>
      </w:r>
      <w:r w:rsidRPr="00472055">
        <w:rPr>
          <w:rFonts w:ascii="Cambria Math" w:hAnsi="Cambria Math" w:cs="Cambria Math"/>
          <w:b/>
          <w:bCs/>
        </w:rPr>
        <w:t>⬍</w:t>
      </w:r>
      <w:r w:rsidRPr="00472055">
        <w:rPr>
          <w:b/>
          <w:bCs/>
        </w:rPr>
        <w:t xml:space="preserve"> 0.04). Better baseline VA was associated with better VA at 1 year, less gain in VA, and a lower proportion gaining </w:t>
      </w:r>
      <w:r w:rsidRPr="00472055">
        <w:rPr>
          <w:rFonts w:ascii="Segoe UI Historic" w:hAnsi="Segoe UI Historic" w:cs="Segoe UI Historic"/>
          <w:b/>
          <w:bCs/>
        </w:rPr>
        <w:t>ⱖ</w:t>
      </w:r>
      <w:r w:rsidRPr="00472055">
        <w:rPr>
          <w:b/>
          <w:bCs/>
        </w:rPr>
        <w:t xml:space="preserve">3 lines (all P </w:t>
      </w:r>
      <w:r w:rsidRPr="00472055">
        <w:rPr>
          <w:rFonts w:ascii="Cambria Math" w:hAnsi="Cambria Math" w:cs="Cambria Math"/>
          <w:b/>
          <w:bCs/>
        </w:rPr>
        <w:t>⬍</w:t>
      </w:r>
      <w:r w:rsidRPr="00472055">
        <w:rPr>
          <w:b/>
          <w:bCs/>
        </w:rPr>
        <w:t xml:space="preserve"> 0.0001). Predominantly or minimally classic lesions were associated with worse VA than occult lesions (66 vs. 69 letters; P</w:t>
      </w:r>
      <w:r w:rsidRPr="00472055">
        <w:rPr>
          <w:rFonts w:ascii="Cambria Math" w:hAnsi="Cambria Math" w:cs="Cambria Math"/>
          <w:b/>
          <w:bCs/>
        </w:rPr>
        <w:t>⫽</w:t>
      </w:r>
      <w:r w:rsidRPr="00472055">
        <w:rPr>
          <w:b/>
          <w:bCs/>
        </w:rPr>
        <w:t xml:space="preserve">0.0003). Retinal angiomatous </w:t>
      </w:r>
      <w:proofErr w:type="spellStart"/>
      <w:r w:rsidRPr="00472055">
        <w:rPr>
          <w:b/>
          <w:bCs/>
        </w:rPr>
        <w:t>proliferans</w:t>
      </w:r>
      <w:proofErr w:type="spellEnd"/>
      <w:r w:rsidRPr="00472055">
        <w:rPr>
          <w:b/>
          <w:bCs/>
        </w:rPr>
        <w:t xml:space="preserve"> (RAP) lesions were associated with more gain in VA (10 vs. 7 letters; P</w:t>
      </w:r>
      <w:r w:rsidRPr="00472055">
        <w:rPr>
          <w:rFonts w:ascii="Cambria Math" w:hAnsi="Cambria Math" w:cs="Cambria Math"/>
          <w:b/>
          <w:bCs/>
        </w:rPr>
        <w:t>⫽</w:t>
      </w:r>
      <w:r w:rsidRPr="00472055">
        <w:rPr>
          <w:b/>
          <w:bCs/>
        </w:rPr>
        <w:t xml:space="preserve">0.03) and a higher proportion gaining </w:t>
      </w:r>
      <w:r w:rsidRPr="00472055">
        <w:rPr>
          <w:rFonts w:ascii="Segoe UI Historic" w:hAnsi="Segoe UI Historic" w:cs="Segoe UI Historic"/>
          <w:b/>
          <w:bCs/>
        </w:rPr>
        <w:t>ⱖ</w:t>
      </w:r>
      <w:r w:rsidRPr="00472055">
        <w:rPr>
          <w:b/>
          <w:bCs/>
        </w:rPr>
        <w:t>3 lines (odds ratio, 1.9; 95% confidence interval, 1.2–3.1). Geographic atrophy (GA) was associated with worse VA (64 vs. 68 letters; P</w:t>
      </w:r>
      <w:r w:rsidRPr="00472055">
        <w:rPr>
          <w:rFonts w:ascii="Cambria Math" w:hAnsi="Cambria Math" w:cs="Cambria Math"/>
          <w:b/>
          <w:bCs/>
        </w:rPr>
        <w:t>⫽</w:t>
      </w:r>
      <w:r w:rsidRPr="00472055">
        <w:rPr>
          <w:b/>
          <w:bCs/>
        </w:rPr>
        <w:t xml:space="preserve">0.02). Eyes with total foveal thickness in the second quartile (325–425 </w:t>
      </w:r>
      <w:r w:rsidRPr="00472055">
        <w:rPr>
          <w:rFonts w:ascii="Calibri" w:hAnsi="Calibri" w:cs="Calibri"/>
          <w:b/>
          <w:bCs/>
        </w:rPr>
        <w:t>␮</w:t>
      </w:r>
      <w:r w:rsidRPr="00472055">
        <w:rPr>
          <w:b/>
          <w:bCs/>
        </w:rPr>
        <w:t>m) had the best VA (P</w:t>
      </w:r>
      <w:r w:rsidRPr="00472055">
        <w:rPr>
          <w:rFonts w:ascii="Cambria Math" w:hAnsi="Cambria Math" w:cs="Cambria Math"/>
          <w:b/>
          <w:bCs/>
        </w:rPr>
        <w:t>⫽</w:t>
      </w:r>
      <w:r w:rsidRPr="00472055">
        <w:rPr>
          <w:b/>
          <w:bCs/>
        </w:rPr>
        <w:t xml:space="preserve">0.01) and were most likely to gain </w:t>
      </w:r>
      <w:r w:rsidRPr="00472055">
        <w:rPr>
          <w:rFonts w:ascii="Segoe UI Historic" w:hAnsi="Segoe UI Historic" w:cs="Segoe UI Historic"/>
          <w:b/>
          <w:bCs/>
        </w:rPr>
        <w:t>ⱖ</w:t>
      </w:r>
      <w:r w:rsidRPr="00472055">
        <w:rPr>
          <w:b/>
          <w:bCs/>
        </w:rPr>
        <w:t>3 lines (P</w:t>
      </w:r>
      <w:r w:rsidRPr="00472055">
        <w:rPr>
          <w:rFonts w:ascii="Cambria Math" w:hAnsi="Cambria Math" w:cs="Cambria Math"/>
          <w:b/>
          <w:bCs/>
        </w:rPr>
        <w:t>⫽</w:t>
      </w:r>
      <w:r w:rsidRPr="00472055">
        <w:rPr>
          <w:b/>
          <w:bCs/>
        </w:rPr>
        <w:t>0.004). Predictors did not vary by treatment group.</w:t>
      </w:r>
    </w:p>
    <w:p w:rsidR="00472055" w:rsidRPr="00472055" w:rsidRDefault="00472055" w:rsidP="00472055">
      <w:pPr>
        <w:rPr>
          <w:b/>
          <w:bCs/>
        </w:rPr>
      </w:pPr>
      <w:r w:rsidRPr="00472055">
        <w:rPr>
          <w:b/>
          <w:bCs/>
        </w:rPr>
        <w:t xml:space="preserve">Conclusions: For all treatment groups, older age, better baseline VA, larger CNV area, predominantly or minimally classic lesion, absence of RAP lesion, presence of GA, greater total fovea thickness, and RPE elevation on optical coherence tomography were independently </w:t>
      </w:r>
      <w:r w:rsidRPr="00472055">
        <w:rPr>
          <w:b/>
          <w:bCs/>
        </w:rPr>
        <w:lastRenderedPageBreak/>
        <w:t>associated with less improvement in VA at 1 year. Financial Disclosure(s): The author(s) have no proprietary or commercial interest in any materials discussed</w:t>
      </w:r>
    </w:p>
    <w:p w:rsidR="00472055" w:rsidRDefault="00472055" w:rsidP="00472055">
      <w:pPr>
        <w:rPr>
          <w:b/>
          <w:bCs/>
        </w:rPr>
      </w:pPr>
      <w:r w:rsidRPr="00472055">
        <w:rPr>
          <w:b/>
          <w:bCs/>
        </w:rPr>
        <w:t xml:space="preserve">in this article. Ophthalmology </w:t>
      </w:r>
      <w:proofErr w:type="gramStart"/>
      <w:r w:rsidRPr="00472055">
        <w:rPr>
          <w:b/>
          <w:bCs/>
        </w:rPr>
        <w:t>2013;120:122</w:t>
      </w:r>
      <w:proofErr w:type="gramEnd"/>
      <w:r w:rsidRPr="00472055">
        <w:rPr>
          <w:b/>
          <w:bCs/>
        </w:rPr>
        <w:t>–129 © 2013 by the American Academy of Ophthalmology.</w:t>
      </w:r>
    </w:p>
    <w:p w:rsidR="00472055" w:rsidRDefault="00472055" w:rsidP="00472055">
      <w:pPr>
        <w:rPr>
          <w:b/>
          <w:bCs/>
        </w:rPr>
      </w:pPr>
    </w:p>
    <w:p w:rsidR="00472055" w:rsidRDefault="00472055" w:rsidP="00472055">
      <w:pPr>
        <w:rPr>
          <w:b/>
          <w:bCs/>
        </w:rPr>
      </w:pPr>
    </w:p>
    <w:p w:rsidR="00472055" w:rsidRDefault="00472055" w:rsidP="00472055">
      <w:pPr>
        <w:rPr>
          <w:b/>
          <w:bCs/>
        </w:rPr>
      </w:pPr>
      <w:r>
        <w:rPr>
          <w:b/>
          <w:bCs/>
        </w:rPr>
        <w:t>Paper 2</w:t>
      </w:r>
      <w:bookmarkStart w:id="0" w:name="_GoBack"/>
      <w:bookmarkEnd w:id="0"/>
    </w:p>
    <w:p w:rsidR="00472055" w:rsidRPr="00472055" w:rsidRDefault="00472055" w:rsidP="00472055">
      <w:pPr>
        <w:rPr>
          <w:b/>
          <w:bCs/>
        </w:rPr>
      </w:pPr>
      <w:r w:rsidRPr="00472055">
        <w:rPr>
          <w:b/>
          <w:bCs/>
        </w:rPr>
        <w:t>Association of Baseline Characteristics and</w:t>
      </w:r>
    </w:p>
    <w:p w:rsidR="00472055" w:rsidRPr="00472055" w:rsidRDefault="00472055" w:rsidP="00472055">
      <w:pPr>
        <w:rPr>
          <w:b/>
          <w:bCs/>
        </w:rPr>
      </w:pPr>
      <w:r w:rsidRPr="00472055">
        <w:rPr>
          <w:b/>
          <w:bCs/>
        </w:rPr>
        <w:t>Early Vision Response with 2-Year Vision Outcomes in the Comparison of AMD Treatments Trials (CATT)</w:t>
      </w:r>
    </w:p>
    <w:p w:rsidR="00472055" w:rsidRPr="00472055" w:rsidRDefault="00472055" w:rsidP="00472055">
      <w:pPr>
        <w:rPr>
          <w:b/>
          <w:bCs/>
        </w:rPr>
      </w:pPr>
      <w:proofErr w:type="spellStart"/>
      <w:r w:rsidRPr="00472055">
        <w:rPr>
          <w:b/>
          <w:bCs/>
        </w:rPr>
        <w:t>Gui-shuang</w:t>
      </w:r>
      <w:proofErr w:type="spellEnd"/>
      <w:r w:rsidRPr="00472055">
        <w:rPr>
          <w:b/>
          <w:bCs/>
        </w:rPr>
        <w:t xml:space="preserve"> Ying, PhD,1 Maureen G. Maguire, PhD,1 Ebenezer Daniel, MBBS, PhD,1 Frederick L. Ferris, MD,2 Glenn J. Jaffe, MD,3 Juan E. Grunwald, MD,1 Cynthia A. Toth, MD,3 </w:t>
      </w:r>
      <w:proofErr w:type="spellStart"/>
      <w:r w:rsidRPr="00472055">
        <w:rPr>
          <w:b/>
          <w:bCs/>
        </w:rPr>
        <w:t>Jiayan</w:t>
      </w:r>
      <w:proofErr w:type="spellEnd"/>
      <w:r w:rsidRPr="00472055">
        <w:rPr>
          <w:b/>
          <w:bCs/>
        </w:rPr>
        <w:t xml:space="preserve"> Huang, MS,1 Daniel F. Martin, MD,4 on behalf of the Comparison of Age-Related Macular Degeneration Treatments Trials (CATT) Research Group*</w:t>
      </w:r>
    </w:p>
    <w:p w:rsidR="00472055" w:rsidRPr="00472055" w:rsidRDefault="00472055" w:rsidP="00472055">
      <w:pPr>
        <w:rPr>
          <w:b/>
          <w:bCs/>
        </w:rPr>
      </w:pPr>
      <w:r w:rsidRPr="00472055">
        <w:rPr>
          <w:b/>
          <w:bCs/>
        </w:rPr>
        <w:t>Purpose: To evaluate the association of baseline characteristics and early visual acuity (VA) response with</w:t>
      </w:r>
    </w:p>
    <w:p w:rsidR="00472055" w:rsidRPr="00472055" w:rsidRDefault="00472055" w:rsidP="00472055">
      <w:pPr>
        <w:rPr>
          <w:b/>
          <w:bCs/>
        </w:rPr>
      </w:pPr>
      <w:r w:rsidRPr="00472055">
        <w:rPr>
          <w:b/>
          <w:bCs/>
        </w:rPr>
        <w:t>visual outcomes at years 1 or 2 in the Comparison of Age-Related Macular Degeneration (AMD) Treatments Trials (CATT).</w:t>
      </w:r>
    </w:p>
    <w:p w:rsidR="00472055" w:rsidRPr="00472055" w:rsidRDefault="00472055" w:rsidP="00472055">
      <w:pPr>
        <w:rPr>
          <w:b/>
          <w:bCs/>
        </w:rPr>
      </w:pPr>
      <w:r w:rsidRPr="00472055">
        <w:rPr>
          <w:b/>
          <w:bCs/>
        </w:rPr>
        <w:t>Design: Secondary analysis of CATT. Participants: The 1185 CATT participants with baseline VA of 20/25 to 20/320. Methods: Participants were assigned to ranibizumab or bevacizumab and to 1 of 3 dosing regimens.</w:t>
      </w:r>
    </w:p>
    <w:p w:rsidR="00472055" w:rsidRPr="00472055" w:rsidRDefault="00472055" w:rsidP="00472055">
      <w:pPr>
        <w:rPr>
          <w:b/>
          <w:bCs/>
        </w:rPr>
      </w:pPr>
      <w:r w:rsidRPr="00472055">
        <w:rPr>
          <w:b/>
          <w:bCs/>
        </w:rPr>
        <w:t xml:space="preserve">Associations of baseline characteristics and early VA response (week 4 or 12) with VA response at years 1 or 2 were assessed by R2 from linear regression analyses. Patients who had a poor initial response (VA 20/ 40 or worse with persistent fluid and without </w:t>
      </w:r>
      <w:r w:rsidRPr="00472055">
        <w:rPr>
          <w:b/>
          <w:bCs/>
        </w:rPr>
        <w:t>1-line VA gain) were defined as candidates for changing treatment. Main Outcome Measures: Visual acuity change from baseline. Results: Statistically significant (P &lt; 0.05) baseline predictors for less VA gain at year 2 were older age, VA of</w:t>
      </w:r>
    </w:p>
    <w:p w:rsidR="00472055" w:rsidRPr="00472055" w:rsidRDefault="00472055" w:rsidP="00472055">
      <w:pPr>
        <w:rPr>
          <w:b/>
          <w:bCs/>
        </w:rPr>
      </w:pPr>
      <w:r w:rsidRPr="00472055">
        <w:rPr>
          <w:b/>
          <w:bCs/>
        </w:rPr>
        <w:t xml:space="preserve">20/40 or better, larger choroidal neovascularization area, presence of geographic atrophy, total foveal thickness </w:t>
      </w:r>
      <w:r w:rsidRPr="00472055">
        <w:rPr>
          <w:b/>
          <w:bCs/>
        </w:rPr>
        <w:separator/>
        <w:t xml:space="preserve">325 </w:t>
      </w:r>
      <w:proofErr w:type="spellStart"/>
      <w:r w:rsidRPr="00472055">
        <w:rPr>
          <w:b/>
          <w:bCs/>
        </w:rPr>
        <w:t>mmor</w:t>
      </w:r>
      <w:proofErr w:type="spellEnd"/>
      <w:r w:rsidRPr="00472055">
        <w:rPr>
          <w:b/>
          <w:bCs/>
        </w:rPr>
        <w:t xml:space="preserve"> </w:t>
      </w:r>
      <w:r w:rsidRPr="00472055">
        <w:rPr>
          <w:b/>
          <w:bCs/>
        </w:rPr>
        <w:t xml:space="preserve">425 mm, and elevation of retinal pigment epithelium. Among 176 eyes gaining </w:t>
      </w:r>
      <w:r w:rsidRPr="00472055">
        <w:rPr>
          <w:b/>
          <w:bCs/>
        </w:rPr>
        <w:t xml:space="preserve">3 lines at week 12, 78% had a </w:t>
      </w:r>
      <w:r w:rsidRPr="00472055">
        <w:rPr>
          <w:b/>
          <w:bCs/>
        </w:rPr>
        <w:t xml:space="preserve">3-line gain at year 2, whereas among 113 eyes losing </w:t>
      </w:r>
      <w:r w:rsidRPr="00472055">
        <w:rPr>
          <w:b/>
          <w:bCs/>
        </w:rPr>
        <w:t xml:space="preserve">1 line at week 12, 27% improved to a </w:t>
      </w:r>
      <w:r w:rsidRPr="00472055">
        <w:rPr>
          <w:b/>
          <w:bCs/>
        </w:rPr>
        <w:t>1-line gain at year 2. Visual acuity response at week 12 was more predictive of VA response at year 2 (R2 ¼ 0.30) than VA response at week 4 (R2 ¼ 0.17) and baseline predictors (R2 ¼ 0.13; P &lt; 0.0001). Among 126 candidates for changing treatment drug at week 12, mean VA improved by 2.8 letters (P ¼ 0.050), mean total retinal thickness decreased 53 mm(P &lt; 0.0001), and fluid resolved in 33% (P &lt; 0.0001) between week 12 and year 1 with continued use of the same drug and regimen. Similar improvements were observed among 83 candidates for changing drugs at week 24. Conclusions: Visual acuity response at week 12 is more predictive of 2-year vision outcomes than either</w:t>
      </w:r>
    </w:p>
    <w:p w:rsidR="00472055" w:rsidRPr="00022FA2" w:rsidRDefault="00472055" w:rsidP="00472055">
      <w:pPr>
        <w:rPr>
          <w:b/>
          <w:bCs/>
        </w:rPr>
      </w:pPr>
      <w:r w:rsidRPr="00472055">
        <w:rPr>
          <w:b/>
          <w:bCs/>
        </w:rPr>
        <w:t xml:space="preserve">several baseline characteristics or week 4 response. Eyes with poor initial response may benefit from continued treatment without switching to another drug. Ophthalmology </w:t>
      </w:r>
      <w:proofErr w:type="gramStart"/>
      <w:r w:rsidRPr="00472055">
        <w:rPr>
          <w:b/>
          <w:bCs/>
        </w:rPr>
        <w:t>2015;122:2523</w:t>
      </w:r>
      <w:proofErr w:type="gramEnd"/>
      <w:r w:rsidRPr="00472055">
        <w:rPr>
          <w:b/>
          <w:bCs/>
        </w:rPr>
        <w:t>-2531 ª 2015 by the American Academy of Ophthalmology.</w:t>
      </w:r>
    </w:p>
    <w:sectPr w:rsidR="00472055" w:rsidRPr="00022F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A2"/>
    <w:rsid w:val="00022FA2"/>
    <w:rsid w:val="00472055"/>
    <w:rsid w:val="00A70D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09FD2"/>
  <w15:chartTrackingRefBased/>
  <w15:docId w15:val="{02D75B08-C300-4E70-B1FE-272FFD57D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2F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F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68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tufail</dc:creator>
  <cp:keywords/>
  <dc:description/>
  <cp:lastModifiedBy>adnan tufail</cp:lastModifiedBy>
  <cp:revision>1</cp:revision>
  <dcterms:created xsi:type="dcterms:W3CDTF">2019-10-17T07:45:00Z</dcterms:created>
  <dcterms:modified xsi:type="dcterms:W3CDTF">2019-10-17T10:58:00Z</dcterms:modified>
</cp:coreProperties>
</file>