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EF96" w14:textId="4B48A070" w:rsidR="00060EA3" w:rsidRDefault="00464315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471671">
        <w:rPr>
          <w:rFonts w:ascii="Garamond" w:hAnsi="Garamond"/>
          <w:b/>
          <w:bCs/>
        </w:rPr>
        <w:t>METHODS.</w:t>
      </w:r>
    </w:p>
    <w:p w14:paraId="3F5F6F62" w14:textId="33F1A534" w:rsidR="00B5336C" w:rsidRPr="00B50397" w:rsidRDefault="007241B0" w:rsidP="001B14F6">
      <w:pPr>
        <w:spacing w:line="276" w:lineRule="auto"/>
        <w:jc w:val="both"/>
        <w:rPr>
          <w:rFonts w:ascii="Garamond" w:hAnsi="Garamond"/>
          <w:color w:val="C00000"/>
        </w:rPr>
      </w:pPr>
      <w:r>
        <w:rPr>
          <w:rFonts w:ascii="Garamond" w:hAnsi="Garamond"/>
        </w:rPr>
        <w:t>The present study is reported</w:t>
      </w:r>
      <w:r w:rsidR="0078584D" w:rsidRPr="0078584D">
        <w:rPr>
          <w:rFonts w:ascii="Garamond" w:hAnsi="Garamond"/>
        </w:rPr>
        <w:t xml:space="preserve"> in </w:t>
      </w:r>
      <w:r w:rsidR="00F81ECD">
        <w:rPr>
          <w:rFonts w:ascii="Garamond" w:hAnsi="Garamond"/>
        </w:rPr>
        <w:t>alignment</w:t>
      </w:r>
      <w:r w:rsidR="0078584D" w:rsidRPr="0078584D">
        <w:rPr>
          <w:rFonts w:ascii="Garamond" w:hAnsi="Garamond"/>
        </w:rPr>
        <w:t xml:space="preserve"> </w:t>
      </w:r>
      <w:r w:rsidR="00672708">
        <w:rPr>
          <w:rFonts w:ascii="Garamond" w:hAnsi="Garamond"/>
        </w:rPr>
        <w:t>to</w:t>
      </w:r>
      <w:r w:rsidR="0078584D" w:rsidRPr="0078584D">
        <w:rPr>
          <w:rFonts w:ascii="Garamond" w:hAnsi="Garamond"/>
        </w:rPr>
        <w:t xml:space="preserve"> </w:t>
      </w:r>
      <w:r w:rsidR="00A75469">
        <w:rPr>
          <w:rFonts w:ascii="Garamond" w:hAnsi="Garamond"/>
        </w:rPr>
        <w:t xml:space="preserve">the </w:t>
      </w:r>
      <w:proofErr w:type="spellStart"/>
      <w:r w:rsidR="00A75469" w:rsidRPr="00A75469">
        <w:rPr>
          <w:rFonts w:ascii="Garamond" w:hAnsi="Garamond"/>
        </w:rPr>
        <w:t>REporting</w:t>
      </w:r>
      <w:proofErr w:type="spellEnd"/>
      <w:r w:rsidR="00A75469" w:rsidRPr="00A75469">
        <w:rPr>
          <w:rFonts w:ascii="Garamond" w:hAnsi="Garamond"/>
        </w:rPr>
        <w:t xml:space="preserve"> of studies Conducted using Observational Routinely-collected health Data (RECORD) Statement</w:t>
      </w:r>
      <w:r w:rsidR="00A75469">
        <w:rPr>
          <w:rFonts w:ascii="Garamond" w:hAnsi="Garamond"/>
        </w:rPr>
        <w:t xml:space="preserve"> </w:t>
      </w:r>
      <w:r w:rsidR="0078584D">
        <w:rPr>
          <w:rFonts w:ascii="Garamond" w:hAnsi="Garamond"/>
        </w:rPr>
        <w:t>[</w:t>
      </w:r>
      <w:r w:rsidR="002F3878">
        <w:rPr>
          <w:rFonts w:ascii="Garamond" w:hAnsi="Garamond"/>
          <w:color w:val="C00000"/>
        </w:rPr>
        <w:t>cite</w:t>
      </w:r>
      <w:r w:rsidR="0078584D">
        <w:rPr>
          <w:rFonts w:ascii="Garamond" w:hAnsi="Garamond"/>
        </w:rPr>
        <w:t>].</w:t>
      </w:r>
      <w:r w:rsidR="00B50397">
        <w:rPr>
          <w:rFonts w:ascii="Garamond" w:hAnsi="Garamond"/>
        </w:rPr>
        <w:t xml:space="preserve"> </w:t>
      </w:r>
      <w:r w:rsidR="00B50397">
        <w:rPr>
          <w:rFonts w:ascii="Garamond" w:hAnsi="Garamond"/>
          <w:color w:val="C00000"/>
        </w:rPr>
        <w:t>Perhaps it should even be the RECORD-PE statement (for pharmacoepiemiology)?</w:t>
      </w:r>
    </w:p>
    <w:p w14:paraId="20B3E331" w14:textId="7B5FB723" w:rsidR="0078584D" w:rsidRDefault="0078584D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2201A850" w14:textId="3E370D3E" w:rsidR="005E6160" w:rsidRDefault="005E6160" w:rsidP="001B14F6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Study design. </w:t>
      </w:r>
      <w:r w:rsidR="00B46FEC" w:rsidRPr="00B46FEC">
        <w:rPr>
          <w:rFonts w:ascii="Garamond" w:hAnsi="Garamond"/>
        </w:rPr>
        <w:t>Simulated trial using ABC trial arm data in combination with a synthetic arm derived from a r</w:t>
      </w:r>
      <w:r w:rsidRPr="00B46FEC">
        <w:rPr>
          <w:rFonts w:ascii="Garamond" w:hAnsi="Garamond"/>
        </w:rPr>
        <w:t xml:space="preserve">etrospective </w:t>
      </w:r>
      <w:r w:rsidR="001E5DB1" w:rsidRPr="00B46FEC">
        <w:rPr>
          <w:rFonts w:ascii="Garamond" w:hAnsi="Garamond"/>
        </w:rPr>
        <w:t xml:space="preserve">longitudinal </w:t>
      </w:r>
      <w:r w:rsidR="00DF53CD" w:rsidRPr="00B46FEC">
        <w:rPr>
          <w:rFonts w:ascii="Garamond" w:hAnsi="Garamond"/>
        </w:rPr>
        <w:t>real-world data</w:t>
      </w:r>
      <w:r w:rsidR="00CD3BA5" w:rsidRPr="00B46FEC">
        <w:rPr>
          <w:rFonts w:ascii="Garamond" w:hAnsi="Garamond"/>
        </w:rPr>
        <w:t>.</w:t>
      </w:r>
    </w:p>
    <w:p w14:paraId="6223D114" w14:textId="77777777" w:rsidR="005E6160" w:rsidRDefault="005E6160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25F00786" w14:textId="4475D4FE" w:rsidR="00D678C6" w:rsidRPr="00D678C6" w:rsidRDefault="00892E65" w:rsidP="001B14F6">
      <w:pPr>
        <w:spacing w:line="276" w:lineRule="auto"/>
        <w:jc w:val="both"/>
        <w:rPr>
          <w:rFonts w:ascii="Garamond" w:hAnsi="Garamond"/>
          <w:color w:val="C00000"/>
        </w:rPr>
      </w:pPr>
      <w:r>
        <w:rPr>
          <w:rFonts w:ascii="Garamond" w:hAnsi="Garamond"/>
          <w:b/>
          <w:bCs/>
        </w:rPr>
        <w:t>Setting.</w:t>
      </w:r>
      <w:r w:rsidR="006E3A10">
        <w:rPr>
          <w:rFonts w:ascii="Garamond" w:hAnsi="Garamond"/>
          <w:b/>
          <w:bCs/>
        </w:rPr>
        <w:t xml:space="preserve"> </w:t>
      </w:r>
      <w:r w:rsidR="006E5A92" w:rsidRPr="006E5A92">
        <w:rPr>
          <w:rFonts w:ascii="Garamond" w:hAnsi="Garamond"/>
        </w:rPr>
        <w:t>We herein analyse</w:t>
      </w:r>
      <w:r w:rsidR="005201BB">
        <w:rPr>
          <w:rFonts w:ascii="Garamond" w:hAnsi="Garamond"/>
        </w:rPr>
        <w:t>d</w:t>
      </w:r>
      <w:r w:rsidR="006E5A92" w:rsidRPr="006E5A92">
        <w:rPr>
          <w:rFonts w:ascii="Garamond" w:hAnsi="Garamond"/>
        </w:rPr>
        <w:t xml:space="preserve"> EHRs detailing the provision of </w:t>
      </w:r>
      <w:r w:rsidR="006E5A92" w:rsidRPr="005841E9">
        <w:rPr>
          <w:rFonts w:ascii="Garamond" w:hAnsi="Garamond"/>
        </w:rPr>
        <w:t xml:space="preserve">ophthalmologic care across 27 sites </w:t>
      </w:r>
      <w:r w:rsidR="004D05E7">
        <w:rPr>
          <w:rFonts w:ascii="Garamond" w:hAnsi="Garamond"/>
        </w:rPr>
        <w:t>within</w:t>
      </w:r>
      <w:r w:rsidR="006E5A92" w:rsidRPr="006E5A92">
        <w:rPr>
          <w:rFonts w:ascii="Garamond" w:hAnsi="Garamond"/>
        </w:rPr>
        <w:t xml:space="preserve"> </w:t>
      </w:r>
      <w:r w:rsidR="00D678C6">
        <w:rPr>
          <w:rFonts w:ascii="Garamond" w:hAnsi="Garamond"/>
        </w:rPr>
        <w:t xml:space="preserve">England, the United Kingdom </w:t>
      </w:r>
      <w:r w:rsidR="00972912">
        <w:rPr>
          <w:rFonts w:ascii="Garamond" w:hAnsi="Garamond"/>
        </w:rPr>
        <w:t xml:space="preserve">during </w:t>
      </w:r>
      <w:r w:rsidR="00972912" w:rsidRPr="00972912">
        <w:rPr>
          <w:rFonts w:ascii="Garamond" w:hAnsi="Garamond"/>
          <w:color w:val="C00000"/>
        </w:rPr>
        <w:t>year</w:t>
      </w:r>
      <w:r w:rsidR="00972912">
        <w:rPr>
          <w:rFonts w:ascii="Garamond" w:hAnsi="Garamond"/>
        </w:rPr>
        <w:t>–</w:t>
      </w:r>
      <w:r w:rsidR="00972912" w:rsidRPr="00972912">
        <w:rPr>
          <w:rFonts w:ascii="Garamond" w:hAnsi="Garamond"/>
          <w:color w:val="C00000"/>
        </w:rPr>
        <w:t>year</w:t>
      </w:r>
      <w:r w:rsidR="006E5A92" w:rsidRPr="006E5A92">
        <w:rPr>
          <w:rFonts w:ascii="Garamond" w:hAnsi="Garamond"/>
        </w:rPr>
        <w:t>.</w:t>
      </w:r>
      <w:r w:rsidR="006E5A92">
        <w:rPr>
          <w:rFonts w:ascii="Garamond" w:hAnsi="Garamond"/>
        </w:rPr>
        <w:t xml:space="preserve"> All EHRs were recorded using the Medisoft </w:t>
      </w:r>
      <w:r w:rsidR="00C16CB3">
        <w:rPr>
          <w:rFonts w:ascii="Garamond" w:hAnsi="Garamond"/>
        </w:rPr>
        <w:t xml:space="preserve">Ophthalmology </w:t>
      </w:r>
      <w:r w:rsidR="006E5A92">
        <w:rPr>
          <w:rFonts w:ascii="Garamond" w:hAnsi="Garamond"/>
        </w:rPr>
        <w:t>platform</w:t>
      </w:r>
      <w:r w:rsidR="00C16CB3">
        <w:rPr>
          <w:rFonts w:ascii="Garamond" w:hAnsi="Garamond"/>
        </w:rPr>
        <w:t xml:space="preserve"> (</w:t>
      </w:r>
      <w:hyperlink r:id="rId5" w:history="1">
        <w:r w:rsidR="000E63B8" w:rsidRPr="00707AAB">
          <w:rPr>
            <w:rStyle w:val="Hyperlink"/>
            <w:rFonts w:ascii="Garamond" w:hAnsi="Garamond"/>
          </w:rPr>
          <w:t>http://www.medisoft.co.uk</w:t>
        </w:r>
      </w:hyperlink>
      <w:r w:rsidR="00C16CB3">
        <w:rPr>
          <w:rFonts w:ascii="Garamond" w:hAnsi="Garamond"/>
        </w:rPr>
        <w:t>)</w:t>
      </w:r>
      <w:r w:rsidR="006E5A92">
        <w:rPr>
          <w:rFonts w:ascii="Garamond" w:hAnsi="Garamond"/>
        </w:rPr>
        <w:t>.</w:t>
      </w:r>
      <w:r w:rsidR="000E63B8">
        <w:rPr>
          <w:rFonts w:ascii="Garamond" w:hAnsi="Garamond"/>
        </w:rPr>
        <w:t xml:space="preserve"> </w:t>
      </w:r>
      <w:r w:rsidR="00D678C6">
        <w:rPr>
          <w:rFonts w:ascii="Garamond" w:hAnsi="Garamond"/>
          <w:color w:val="C00000"/>
        </w:rPr>
        <w:t xml:space="preserve"> ABC trial.</w:t>
      </w:r>
    </w:p>
    <w:p w14:paraId="5622D932" w14:textId="77777777" w:rsidR="00BB3470" w:rsidRDefault="00BB3470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2B7DD24F" w14:textId="547C865A" w:rsidR="00E0619A" w:rsidRDefault="00892E65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26654D">
        <w:rPr>
          <w:rFonts w:ascii="Garamond" w:hAnsi="Garamond"/>
          <w:b/>
          <w:bCs/>
        </w:rPr>
        <w:t>Participants</w:t>
      </w:r>
      <w:r w:rsidR="00BB3470" w:rsidRPr="0026654D">
        <w:rPr>
          <w:rFonts w:ascii="Garamond" w:hAnsi="Garamond"/>
          <w:b/>
          <w:bCs/>
        </w:rPr>
        <w:t>.</w:t>
      </w:r>
      <w:r w:rsidR="009E7DEE" w:rsidRPr="0026654D">
        <w:rPr>
          <w:rFonts w:ascii="Garamond" w:hAnsi="Garamond"/>
          <w:b/>
          <w:bCs/>
        </w:rPr>
        <w:t xml:space="preserve"> </w:t>
      </w:r>
    </w:p>
    <w:p w14:paraId="483B1B9D" w14:textId="6F3983EB" w:rsidR="000A78EC" w:rsidRPr="001304BB" w:rsidRDefault="000A78EC" w:rsidP="001B14F6">
      <w:pPr>
        <w:spacing w:line="276" w:lineRule="auto"/>
        <w:jc w:val="both"/>
        <w:rPr>
          <w:rFonts w:ascii="Garamond" w:hAnsi="Garamond"/>
          <w:color w:val="FF0000"/>
        </w:rPr>
      </w:pPr>
      <w:r>
        <w:rPr>
          <w:rFonts w:ascii="Garamond" w:hAnsi="Garamond"/>
          <w:b/>
          <w:bCs/>
          <w:i/>
          <w:iCs/>
        </w:rPr>
        <w:t>ABC trial</w:t>
      </w:r>
      <w:r w:rsidR="004E282C">
        <w:rPr>
          <w:rFonts w:ascii="Garamond" w:hAnsi="Garamond"/>
          <w:b/>
          <w:bCs/>
          <w:i/>
          <w:iCs/>
        </w:rPr>
        <w:t xml:space="preserve"> arm (Avastin). </w:t>
      </w:r>
      <w:r w:rsidR="001304BB">
        <w:rPr>
          <w:rFonts w:ascii="Garamond" w:hAnsi="Garamond"/>
          <w:b/>
          <w:bCs/>
          <w:i/>
          <w:iCs/>
        </w:rPr>
        <w:t xml:space="preserve"> </w:t>
      </w:r>
      <w:r w:rsidR="001304BB">
        <w:rPr>
          <w:rFonts w:ascii="Garamond" w:hAnsi="Garamond"/>
          <w:color w:val="FF0000"/>
        </w:rPr>
        <w:t>Summary.</w:t>
      </w:r>
      <w:r w:rsidR="006A6D33">
        <w:rPr>
          <w:rFonts w:ascii="Garamond" w:hAnsi="Garamond"/>
          <w:color w:val="FF0000"/>
        </w:rPr>
        <w:t xml:space="preserve"> Avastin treatment </w:t>
      </w:r>
      <w:proofErr w:type="spellStart"/>
      <w:r w:rsidR="006A6D33">
        <w:rPr>
          <w:rFonts w:ascii="Garamond" w:hAnsi="Garamond"/>
          <w:color w:val="FF0000"/>
        </w:rPr>
        <w:t>regigment</w:t>
      </w:r>
      <w:proofErr w:type="spellEnd"/>
      <w:r w:rsidR="006A6D33">
        <w:rPr>
          <w:rFonts w:ascii="Garamond" w:hAnsi="Garamond"/>
          <w:color w:val="FF0000"/>
        </w:rPr>
        <w:t>.</w:t>
      </w:r>
    </w:p>
    <w:p w14:paraId="6AAA578A" w14:textId="23ED2E83" w:rsidR="000A78EC" w:rsidRDefault="000A78EC" w:rsidP="001B14F6">
      <w:pPr>
        <w:spacing w:line="276" w:lineRule="auto"/>
        <w:jc w:val="both"/>
        <w:rPr>
          <w:rFonts w:ascii="Garamond" w:hAnsi="Garamond"/>
          <w:b/>
          <w:bCs/>
          <w:i/>
          <w:iCs/>
        </w:rPr>
      </w:pPr>
    </w:p>
    <w:p w14:paraId="2932F5BF" w14:textId="68F38D3D" w:rsidR="00210CBA" w:rsidRDefault="004E282C" w:rsidP="001B14F6">
      <w:pPr>
        <w:spacing w:line="276" w:lineRule="auto"/>
        <w:jc w:val="both"/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b/>
          <w:bCs/>
          <w:i/>
          <w:iCs/>
        </w:rPr>
        <w:t>Synthetic control arm (</w:t>
      </w:r>
      <w:proofErr w:type="spellStart"/>
      <w:r>
        <w:rPr>
          <w:rFonts w:ascii="Garamond" w:hAnsi="Garamond"/>
          <w:b/>
          <w:bCs/>
          <w:i/>
          <w:iCs/>
        </w:rPr>
        <w:t>Eylea</w:t>
      </w:r>
      <w:proofErr w:type="spellEnd"/>
      <w:r>
        <w:rPr>
          <w:rFonts w:ascii="Garamond" w:hAnsi="Garamond"/>
          <w:b/>
          <w:bCs/>
          <w:i/>
          <w:iCs/>
        </w:rPr>
        <w:t>)</w:t>
      </w:r>
      <w:r w:rsidR="000A78EC">
        <w:rPr>
          <w:rFonts w:ascii="Garamond" w:hAnsi="Garamond"/>
          <w:b/>
          <w:bCs/>
          <w:i/>
          <w:iCs/>
        </w:rPr>
        <w:t>.</w:t>
      </w:r>
      <w:r w:rsidR="00210CBA">
        <w:rPr>
          <w:rFonts w:ascii="Garamond" w:hAnsi="Garamond"/>
          <w:b/>
          <w:bCs/>
          <w:i/>
          <w:iCs/>
        </w:rPr>
        <w:t xml:space="preserve"> </w:t>
      </w:r>
      <w:r w:rsidR="00210CBA" w:rsidRPr="00210CBA">
        <w:rPr>
          <w:rFonts w:ascii="Garamond" w:hAnsi="Garamond"/>
          <w:color w:val="FF0000"/>
        </w:rPr>
        <w:t>Describe Medisoft dataset.</w:t>
      </w:r>
    </w:p>
    <w:p w14:paraId="5FDE0455" w14:textId="77777777" w:rsidR="00210CBA" w:rsidRDefault="00210CBA" w:rsidP="001B14F6">
      <w:pPr>
        <w:spacing w:line="276" w:lineRule="auto"/>
        <w:jc w:val="both"/>
        <w:rPr>
          <w:rFonts w:ascii="Garamond" w:hAnsi="Garamond"/>
          <w:b/>
          <w:bCs/>
          <w:i/>
          <w:iCs/>
        </w:rPr>
      </w:pPr>
    </w:p>
    <w:p w14:paraId="5D1E2836" w14:textId="1A49601D" w:rsidR="000A78EC" w:rsidRPr="00154518" w:rsidRDefault="00195C84" w:rsidP="001B14F6">
      <w:pPr>
        <w:spacing w:line="276" w:lineRule="auto"/>
        <w:jc w:val="both"/>
        <w:rPr>
          <w:rFonts w:ascii="Garamond" w:hAnsi="Garamond"/>
          <w:b/>
          <w:bCs/>
          <w:i/>
          <w:iCs/>
        </w:rPr>
      </w:pPr>
      <w:r w:rsidRPr="00154518">
        <w:rPr>
          <w:rFonts w:ascii="Garamond" w:hAnsi="Garamond"/>
        </w:rPr>
        <w:t xml:space="preserve">The synthetic control arm consisted of eyes </w:t>
      </w:r>
      <w:r w:rsidR="00154518" w:rsidRPr="00154518">
        <w:rPr>
          <w:rFonts w:ascii="Garamond" w:hAnsi="Garamond"/>
        </w:rPr>
        <w:t xml:space="preserve">(excluding contralaterally affected) </w:t>
      </w:r>
      <w:r w:rsidRPr="00154518">
        <w:rPr>
          <w:rFonts w:ascii="Garamond" w:hAnsi="Garamond"/>
        </w:rPr>
        <w:t xml:space="preserve">being treated with </w:t>
      </w:r>
      <w:proofErr w:type="spellStart"/>
      <w:r w:rsidRPr="00154518">
        <w:rPr>
          <w:rFonts w:ascii="Garamond" w:hAnsi="Garamond"/>
        </w:rPr>
        <w:t>Eylea</w:t>
      </w:r>
      <w:proofErr w:type="spellEnd"/>
      <w:r w:rsidRPr="00154518">
        <w:rPr>
          <w:rFonts w:ascii="Garamond" w:hAnsi="Garamond"/>
        </w:rPr>
        <w:t xml:space="preserve"> (</w:t>
      </w:r>
      <w:r w:rsidRPr="00154518">
        <w:rPr>
          <w:rFonts w:ascii="Garamond" w:hAnsi="Garamond"/>
          <w:color w:val="C00000"/>
        </w:rPr>
        <w:t>dose/frequency</w:t>
      </w:r>
      <w:r w:rsidRPr="00154518">
        <w:rPr>
          <w:rFonts w:ascii="Garamond" w:hAnsi="Garamond"/>
        </w:rPr>
        <w:t>) as per standard</w:t>
      </w:r>
      <w:r w:rsidR="00154518" w:rsidRPr="00154518">
        <w:rPr>
          <w:rFonts w:ascii="Garamond" w:hAnsi="Garamond"/>
        </w:rPr>
        <w:t xml:space="preserve"> care for</w:t>
      </w:r>
      <w:r w:rsidR="00821778">
        <w:rPr>
          <w:rFonts w:ascii="Garamond" w:hAnsi="Garamond"/>
        </w:rPr>
        <w:t xml:space="preserve"> indications of age-related macular degeneration</w:t>
      </w:r>
      <w:r w:rsidR="00752591">
        <w:rPr>
          <w:rFonts w:ascii="Garamond" w:hAnsi="Garamond"/>
          <w:color w:val="C00000"/>
        </w:rPr>
        <w:t>.</w:t>
      </w:r>
      <w:r w:rsidR="006A6D33">
        <w:rPr>
          <w:rFonts w:ascii="Garamond" w:hAnsi="Garamond"/>
          <w:color w:val="C00000"/>
        </w:rPr>
        <w:t xml:space="preserve"> </w:t>
      </w:r>
      <w:r w:rsidR="00677638">
        <w:rPr>
          <w:rFonts w:ascii="Garamond" w:hAnsi="Garamond"/>
        </w:rPr>
        <w:t xml:space="preserve">In alignment with the ABC trial, we excluded eyes that </w:t>
      </w:r>
      <w:r w:rsidR="00BF32F8">
        <w:rPr>
          <w:rFonts w:ascii="Garamond" w:hAnsi="Garamond"/>
        </w:rPr>
        <w:t>underwent or received</w:t>
      </w:r>
      <w:r w:rsidR="00087AEB">
        <w:rPr>
          <w:rFonts w:ascii="Garamond" w:hAnsi="Garamond"/>
        </w:rPr>
        <w:t xml:space="preserve"> or developed</w:t>
      </w:r>
      <w:r w:rsidR="00BF32F8">
        <w:rPr>
          <w:rFonts w:ascii="Garamond" w:hAnsi="Garamond"/>
        </w:rPr>
        <w:t xml:space="preserve"> before baseline (unless stated otherwise): I) stereotactic radiotherapy, transpupillary thermo therapy, or photodynamic therapy (</w:t>
      </w:r>
      <w:r w:rsidR="00BF32F8" w:rsidRPr="00BF32F8">
        <w:rPr>
          <w:rFonts w:ascii="Garamond" w:hAnsi="Garamond"/>
          <w:color w:val="FF0000"/>
        </w:rPr>
        <w:t>thermal laser unrecorded</w:t>
      </w:r>
      <w:r w:rsidR="00BF32F8">
        <w:rPr>
          <w:rFonts w:ascii="Garamond" w:hAnsi="Garamond"/>
        </w:rPr>
        <w:t xml:space="preserve">); II) photodynamic therapy—as a proxy for verteporfin administration—in the contralateral eye within seven days of baseline; III) </w:t>
      </w:r>
      <w:proofErr w:type="spellStart"/>
      <w:r w:rsidR="00BF32F8">
        <w:rPr>
          <w:rFonts w:ascii="Garamond" w:hAnsi="Garamond"/>
        </w:rPr>
        <w:t>Macugen</w:t>
      </w:r>
      <w:proofErr w:type="spellEnd"/>
      <w:r w:rsidR="00BF32F8">
        <w:rPr>
          <w:rFonts w:ascii="Garamond" w:hAnsi="Garamond"/>
        </w:rPr>
        <w:t xml:space="preserve">, </w:t>
      </w:r>
      <w:r w:rsidR="00BF32F8" w:rsidRPr="00BF32F8">
        <w:rPr>
          <w:rFonts w:ascii="Garamond" w:hAnsi="Garamond"/>
          <w:color w:val="C00000"/>
        </w:rPr>
        <w:t>Avastin</w:t>
      </w:r>
      <w:r w:rsidR="00BF32F8">
        <w:rPr>
          <w:rFonts w:ascii="Garamond" w:hAnsi="Garamond"/>
        </w:rPr>
        <w:t xml:space="preserve">, or </w:t>
      </w:r>
      <w:r w:rsidR="00BF32F8" w:rsidRPr="00BF32F8">
        <w:rPr>
          <w:rFonts w:ascii="Garamond" w:hAnsi="Garamond"/>
          <w:color w:val="C00000"/>
        </w:rPr>
        <w:t>Lucentis</w:t>
      </w:r>
      <w:r w:rsidR="00BF32F8">
        <w:rPr>
          <w:rFonts w:ascii="Garamond" w:hAnsi="Garamond"/>
        </w:rPr>
        <w:t xml:space="preserve">; IV) intravitreal </w:t>
      </w:r>
      <w:proofErr w:type="spellStart"/>
      <w:r w:rsidR="00BF32F8">
        <w:rPr>
          <w:rFonts w:ascii="Garamond" w:hAnsi="Garamond"/>
        </w:rPr>
        <w:t>Dexamatheasone</w:t>
      </w:r>
      <w:proofErr w:type="spellEnd"/>
      <w:r w:rsidR="00BF32F8">
        <w:rPr>
          <w:rFonts w:ascii="Garamond" w:hAnsi="Garamond"/>
        </w:rPr>
        <w:t xml:space="preserve">, </w:t>
      </w:r>
      <w:proofErr w:type="spellStart"/>
      <w:r w:rsidR="00BF32F8" w:rsidRPr="0023448A">
        <w:rPr>
          <w:rFonts w:ascii="Garamond" w:hAnsi="Garamond"/>
        </w:rPr>
        <w:t>Triesence</w:t>
      </w:r>
      <w:proofErr w:type="spellEnd"/>
      <w:r w:rsidR="00BF32F8">
        <w:rPr>
          <w:rFonts w:ascii="Garamond" w:hAnsi="Garamond"/>
        </w:rPr>
        <w:t xml:space="preserve"> or other implantation; V) vitrectomy; V</w:t>
      </w:r>
      <w:r w:rsidR="00087AEB">
        <w:rPr>
          <w:rFonts w:ascii="Garamond" w:hAnsi="Garamond"/>
        </w:rPr>
        <w:t>I</w:t>
      </w:r>
      <w:r w:rsidR="00BF32F8">
        <w:rPr>
          <w:rFonts w:ascii="Garamond" w:hAnsi="Garamond"/>
        </w:rPr>
        <w:t xml:space="preserve">) </w:t>
      </w:r>
      <w:r w:rsidR="00087AEB">
        <w:rPr>
          <w:rFonts w:ascii="Garamond" w:hAnsi="Garamond"/>
        </w:rPr>
        <w:t>diabetic retinopathy akin to an NSC grade of ≥ R1 or M1; VII)</w:t>
      </w:r>
      <w:r w:rsidR="002C6512">
        <w:rPr>
          <w:rFonts w:ascii="Garamond" w:hAnsi="Garamond"/>
        </w:rPr>
        <w:t xml:space="preserve"> </w:t>
      </w:r>
      <w:r w:rsidR="002C6512" w:rsidRPr="002C6512">
        <w:rPr>
          <w:rFonts w:ascii="Garamond" w:hAnsi="Garamond"/>
        </w:rPr>
        <w:t>trabeculectomy</w:t>
      </w:r>
      <w:r w:rsidR="002C6512">
        <w:rPr>
          <w:rFonts w:ascii="Garamond" w:hAnsi="Garamond"/>
        </w:rPr>
        <w:t xml:space="preserve">; VIII) </w:t>
      </w:r>
      <w:r w:rsidR="002C6512" w:rsidRPr="002C6512">
        <w:rPr>
          <w:rFonts w:ascii="Garamond" w:hAnsi="Garamond"/>
        </w:rPr>
        <w:t>keratoplasty</w:t>
      </w:r>
      <w:r w:rsidR="002C6512">
        <w:rPr>
          <w:rFonts w:ascii="Garamond" w:hAnsi="Garamond"/>
        </w:rPr>
        <w:t xml:space="preserve">; or IX) </w:t>
      </w:r>
      <w:r w:rsidR="002C6512" w:rsidRPr="002C6512">
        <w:rPr>
          <w:rFonts w:ascii="Garamond" w:hAnsi="Garamond"/>
          <w:color w:val="C00000"/>
        </w:rPr>
        <w:t xml:space="preserve">any </w:t>
      </w:r>
      <w:proofErr w:type="spellStart"/>
      <w:r w:rsidR="002C6512" w:rsidRPr="002C6512">
        <w:rPr>
          <w:rFonts w:ascii="Garamond" w:hAnsi="Garamond"/>
          <w:color w:val="C00000"/>
        </w:rPr>
        <w:t>submacular</w:t>
      </w:r>
      <w:proofErr w:type="spellEnd"/>
      <w:r w:rsidR="002C6512" w:rsidRPr="002C6512">
        <w:rPr>
          <w:rFonts w:ascii="Garamond" w:hAnsi="Garamond"/>
          <w:color w:val="C00000"/>
        </w:rPr>
        <w:t xml:space="preserve"> surgery for AMD</w:t>
      </w:r>
      <w:r w:rsidR="002C6512">
        <w:rPr>
          <w:rFonts w:ascii="Garamond" w:hAnsi="Garamond"/>
        </w:rPr>
        <w:t>.</w:t>
      </w:r>
      <w:r w:rsidR="001B28A6">
        <w:rPr>
          <w:rFonts w:ascii="Garamond" w:hAnsi="Garamond"/>
        </w:rPr>
        <w:t xml:space="preserve"> In addition to the ABC </w:t>
      </w:r>
      <w:r w:rsidR="00AA3E96">
        <w:rPr>
          <w:rFonts w:ascii="Garamond" w:hAnsi="Garamond"/>
        </w:rPr>
        <w:t>eligibility</w:t>
      </w:r>
      <w:r w:rsidR="001B28A6">
        <w:rPr>
          <w:rFonts w:ascii="Garamond" w:hAnsi="Garamond"/>
        </w:rPr>
        <w:t>, we also excluded all eyes that switched to Avastin or Lucentis during the study period</w:t>
      </w:r>
      <w:r w:rsidR="00DC7F4F">
        <w:rPr>
          <w:rFonts w:ascii="Garamond" w:hAnsi="Garamond"/>
        </w:rPr>
        <w:t xml:space="preserve"> and—</w:t>
      </w:r>
      <w:r w:rsidR="00AA3E96">
        <w:rPr>
          <w:rFonts w:ascii="Garamond" w:hAnsi="Garamond"/>
        </w:rPr>
        <w:t>pertinent</w:t>
      </w:r>
      <w:r w:rsidR="00DC7F4F">
        <w:rPr>
          <w:rFonts w:ascii="Garamond" w:hAnsi="Garamond"/>
        </w:rPr>
        <w:t xml:space="preserve"> to PS—all eyes that had missing gender, age, and baseline visual acuity.</w:t>
      </w:r>
      <w:bookmarkStart w:id="0" w:name="_GoBack"/>
      <w:bookmarkEnd w:id="0"/>
    </w:p>
    <w:p w14:paraId="58F6C6B4" w14:textId="38F37976" w:rsidR="000D3174" w:rsidRDefault="000D3174" w:rsidP="001B14F6">
      <w:pPr>
        <w:spacing w:line="276" w:lineRule="auto"/>
        <w:jc w:val="both"/>
        <w:rPr>
          <w:rFonts w:ascii="Garamond" w:hAnsi="Garamond"/>
          <w:color w:val="C00000"/>
        </w:rPr>
      </w:pPr>
    </w:p>
    <w:p w14:paraId="6F876F64" w14:textId="60EC0090" w:rsidR="000D3174" w:rsidRDefault="000D3174" w:rsidP="001B14F6">
      <w:pPr>
        <w:spacing w:line="276" w:lineRule="auto"/>
        <w:jc w:val="both"/>
        <w:rPr>
          <w:rFonts w:ascii="Garamond" w:hAnsi="Garamond"/>
          <w:color w:val="C00000"/>
        </w:rPr>
      </w:pPr>
      <w:r>
        <w:rPr>
          <w:rFonts w:ascii="Garamond" w:hAnsi="Garamond"/>
          <w:color w:val="C00000"/>
        </w:rPr>
        <w:t>From this pool of eyes aligned with the ABC trial criteria we matched</w:t>
      </w:r>
    </w:p>
    <w:p w14:paraId="29162058" w14:textId="49D2D99F" w:rsidR="000D3174" w:rsidRPr="00D678C6" w:rsidRDefault="000D3174" w:rsidP="001B14F6">
      <w:pPr>
        <w:spacing w:line="276" w:lineRule="auto"/>
        <w:jc w:val="both"/>
        <w:rPr>
          <w:rFonts w:ascii="Garamond" w:hAnsi="Garamond"/>
          <w:color w:val="C00000"/>
        </w:rPr>
      </w:pPr>
      <w:r>
        <w:rPr>
          <w:rFonts w:ascii="Garamond" w:hAnsi="Garamond"/>
          <w:color w:val="C00000"/>
        </w:rPr>
        <w:t xml:space="preserve">propensity score matching/inverse </w:t>
      </w:r>
      <w:proofErr w:type="spellStart"/>
      <w:r>
        <w:rPr>
          <w:rFonts w:ascii="Garamond" w:hAnsi="Garamond"/>
          <w:color w:val="C00000"/>
        </w:rPr>
        <w:t>propbability</w:t>
      </w:r>
      <w:proofErr w:type="spellEnd"/>
      <w:r>
        <w:rPr>
          <w:rFonts w:ascii="Garamond" w:hAnsi="Garamond"/>
          <w:color w:val="C00000"/>
        </w:rPr>
        <w:t xml:space="preserve"> weighting.</w:t>
      </w:r>
    </w:p>
    <w:p w14:paraId="540DEB73" w14:textId="35A24734" w:rsidR="006844F0" w:rsidRDefault="006844F0" w:rsidP="001B14F6">
      <w:pPr>
        <w:spacing w:line="276" w:lineRule="auto"/>
        <w:jc w:val="both"/>
        <w:rPr>
          <w:rFonts w:ascii="Garamond" w:hAnsi="Garamond"/>
        </w:rPr>
      </w:pPr>
    </w:p>
    <w:p w14:paraId="2D925F2C" w14:textId="476F5983" w:rsidR="00DF53CD" w:rsidRPr="00DF53CD" w:rsidRDefault="00DF53CD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DF53CD">
        <w:rPr>
          <w:rFonts w:ascii="Garamond" w:hAnsi="Garamond"/>
          <w:b/>
          <w:bCs/>
        </w:rPr>
        <w:t>Variables.</w:t>
      </w:r>
    </w:p>
    <w:p w14:paraId="6A1C02D8" w14:textId="77777777" w:rsidR="00E6421C" w:rsidRDefault="00E6421C" w:rsidP="001B14F6">
      <w:pPr>
        <w:spacing w:line="276" w:lineRule="auto"/>
        <w:jc w:val="both"/>
        <w:rPr>
          <w:rFonts w:ascii="Garamond" w:hAnsi="Garamond"/>
        </w:rPr>
      </w:pPr>
    </w:p>
    <w:p w14:paraId="7025A385" w14:textId="4D41F211" w:rsidR="00C966DB" w:rsidRDefault="00DF53CD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DF53CD">
        <w:rPr>
          <w:rFonts w:ascii="Garamond" w:hAnsi="Garamond"/>
          <w:b/>
          <w:bCs/>
        </w:rPr>
        <w:t>Data sources/measurement</w:t>
      </w:r>
      <w:r>
        <w:rPr>
          <w:rFonts w:ascii="Garamond" w:hAnsi="Garamond"/>
          <w:b/>
          <w:bCs/>
        </w:rPr>
        <w:t>.</w:t>
      </w:r>
    </w:p>
    <w:p w14:paraId="674FBE48" w14:textId="77777777" w:rsidR="00812F49" w:rsidRPr="009625C3" w:rsidRDefault="00812F49" w:rsidP="001B14F6">
      <w:pPr>
        <w:spacing w:line="276" w:lineRule="auto"/>
        <w:jc w:val="both"/>
        <w:rPr>
          <w:rFonts w:ascii="Garamond" w:hAnsi="Garamond"/>
        </w:rPr>
      </w:pPr>
    </w:p>
    <w:p w14:paraId="2E5EAD77" w14:textId="775AE997" w:rsidR="00DF53CD" w:rsidRDefault="00DF53CD" w:rsidP="001B14F6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Bias.</w:t>
      </w:r>
    </w:p>
    <w:p w14:paraId="75C04588" w14:textId="6C386006" w:rsidR="00DF53CD" w:rsidRDefault="00DF53CD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49C8BC7E" w14:textId="1DFB9B20" w:rsidR="00DF53CD" w:rsidRDefault="00DF53CD" w:rsidP="001B14F6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Study size.</w:t>
      </w:r>
    </w:p>
    <w:p w14:paraId="587AD9B7" w14:textId="08BAAE82" w:rsidR="00DF53CD" w:rsidRDefault="00DF53CD" w:rsidP="001B14F6">
      <w:pPr>
        <w:spacing w:line="276" w:lineRule="auto"/>
        <w:jc w:val="both"/>
        <w:rPr>
          <w:rFonts w:ascii="Garamond" w:hAnsi="Garamond"/>
          <w:color w:val="C00000"/>
        </w:rPr>
      </w:pPr>
      <w:r w:rsidRPr="00DF53CD">
        <w:rPr>
          <w:rFonts w:ascii="Garamond" w:hAnsi="Garamond"/>
          <w:color w:val="C00000"/>
        </w:rPr>
        <w:t>Calculate statistical power</w:t>
      </w:r>
      <w:r w:rsidR="001E41D6">
        <w:rPr>
          <w:rFonts w:ascii="Garamond" w:hAnsi="Garamond"/>
          <w:color w:val="C00000"/>
        </w:rPr>
        <w:t xml:space="preserve"> (likelihood of overlooking an association)</w:t>
      </w:r>
      <w:r w:rsidRPr="00DF53CD">
        <w:rPr>
          <w:rFonts w:ascii="Garamond" w:hAnsi="Garamond"/>
          <w:color w:val="C00000"/>
        </w:rPr>
        <w:t xml:space="preserve"> given sample size.</w:t>
      </w:r>
    </w:p>
    <w:p w14:paraId="2632AD87" w14:textId="0137D576" w:rsidR="00641A0D" w:rsidRDefault="00641A0D" w:rsidP="001B14F6">
      <w:pPr>
        <w:spacing w:line="276" w:lineRule="auto"/>
        <w:jc w:val="both"/>
        <w:rPr>
          <w:rFonts w:ascii="Garamond" w:hAnsi="Garamond"/>
          <w:color w:val="C00000"/>
        </w:rPr>
      </w:pPr>
    </w:p>
    <w:p w14:paraId="5604B2EF" w14:textId="4165027A" w:rsidR="00641A0D" w:rsidRDefault="00641A0D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641A0D">
        <w:rPr>
          <w:rFonts w:ascii="Garamond" w:hAnsi="Garamond"/>
          <w:b/>
          <w:bCs/>
        </w:rPr>
        <w:t>Quantitative variables.</w:t>
      </w:r>
    </w:p>
    <w:p w14:paraId="5B1CCBC0" w14:textId="7AC15EE3" w:rsidR="007241B0" w:rsidRDefault="007241B0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67621802" w14:textId="475809E4" w:rsidR="007241B0" w:rsidRPr="00641A0D" w:rsidRDefault="007241B0" w:rsidP="001B14F6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Statistical methods.</w:t>
      </w:r>
    </w:p>
    <w:p w14:paraId="0B06EBDD" w14:textId="1EED4427" w:rsidR="00DF53CD" w:rsidRDefault="00DF53CD" w:rsidP="001B14F6">
      <w:pPr>
        <w:spacing w:line="276" w:lineRule="auto"/>
        <w:jc w:val="both"/>
        <w:rPr>
          <w:rFonts w:ascii="Garamond" w:hAnsi="Garamond"/>
        </w:rPr>
      </w:pPr>
    </w:p>
    <w:p w14:paraId="0F5C5AD9" w14:textId="5D325669" w:rsidR="00D678C6" w:rsidRPr="00D678C6" w:rsidRDefault="00D678C6" w:rsidP="001B14F6">
      <w:pPr>
        <w:spacing w:line="276" w:lineRule="auto"/>
        <w:jc w:val="both"/>
        <w:rPr>
          <w:rFonts w:ascii="Garamond" w:hAnsi="Garamond"/>
          <w:color w:val="C00000"/>
        </w:rPr>
      </w:pPr>
      <w:r w:rsidRPr="00D678C6">
        <w:rPr>
          <w:rFonts w:ascii="Garamond" w:hAnsi="Garamond"/>
          <w:color w:val="C00000"/>
        </w:rPr>
        <w:lastRenderedPageBreak/>
        <w:t>Outstanding questions.</w:t>
      </w:r>
    </w:p>
    <w:p w14:paraId="72CFBD2C" w14:textId="78FD48DF" w:rsidR="00D678C6" w:rsidRPr="00D678C6" w:rsidRDefault="00D678C6" w:rsidP="001B14F6">
      <w:pPr>
        <w:spacing w:line="276" w:lineRule="auto"/>
        <w:jc w:val="both"/>
        <w:rPr>
          <w:rFonts w:ascii="Garamond" w:hAnsi="Garamond"/>
          <w:color w:val="C00000"/>
        </w:rPr>
      </w:pPr>
      <w:r w:rsidRPr="00D678C6">
        <w:rPr>
          <w:rFonts w:ascii="Garamond" w:hAnsi="Garamond"/>
          <w:color w:val="C00000"/>
        </w:rPr>
        <w:t xml:space="preserve">How many </w:t>
      </w:r>
      <w:proofErr w:type="spellStart"/>
      <w:r w:rsidRPr="00D678C6">
        <w:rPr>
          <w:rFonts w:ascii="Garamond" w:hAnsi="Garamond"/>
          <w:color w:val="C00000"/>
        </w:rPr>
        <w:t>boostrap</w:t>
      </w:r>
      <w:proofErr w:type="spellEnd"/>
      <w:r w:rsidRPr="00D678C6">
        <w:rPr>
          <w:rFonts w:ascii="Garamond" w:hAnsi="Garamond"/>
          <w:color w:val="C00000"/>
        </w:rPr>
        <w:t xml:space="preserve"> iterations?</w:t>
      </w:r>
    </w:p>
    <w:p w14:paraId="6DFE18A5" w14:textId="5546BB52" w:rsidR="00D678C6" w:rsidRPr="00D678C6" w:rsidRDefault="00D678C6" w:rsidP="001B14F6">
      <w:pPr>
        <w:spacing w:line="276" w:lineRule="auto"/>
        <w:jc w:val="both"/>
        <w:rPr>
          <w:rFonts w:ascii="Garamond" w:hAnsi="Garamond"/>
          <w:color w:val="C00000"/>
        </w:rPr>
      </w:pPr>
      <w:r w:rsidRPr="00D678C6">
        <w:rPr>
          <w:rFonts w:ascii="Garamond" w:hAnsi="Garamond"/>
          <w:color w:val="C00000"/>
        </w:rPr>
        <w:t>Bootstrap with or without replacement across iterations?</w:t>
      </w:r>
    </w:p>
    <w:p w14:paraId="6B13B015" w14:textId="534F2939" w:rsidR="00D678C6" w:rsidRPr="00D678C6" w:rsidRDefault="00D678C6" w:rsidP="001B14F6">
      <w:pPr>
        <w:spacing w:line="276" w:lineRule="auto"/>
        <w:jc w:val="both"/>
        <w:rPr>
          <w:rFonts w:ascii="Garamond" w:hAnsi="Garamond"/>
          <w:color w:val="C00000"/>
        </w:rPr>
      </w:pPr>
      <w:proofErr w:type="spellStart"/>
      <w:r w:rsidRPr="00D678C6">
        <w:rPr>
          <w:rFonts w:ascii="Garamond" w:hAnsi="Garamond"/>
          <w:color w:val="C00000"/>
        </w:rPr>
        <w:t>Boostrap</w:t>
      </w:r>
      <w:proofErr w:type="spellEnd"/>
      <w:r w:rsidRPr="00D678C6">
        <w:rPr>
          <w:rFonts w:ascii="Garamond" w:hAnsi="Garamond"/>
          <w:color w:val="C00000"/>
        </w:rPr>
        <w:t xml:space="preserve"> with or without replacement within iteration? </w:t>
      </w:r>
    </w:p>
    <w:p w14:paraId="328814E9" w14:textId="2997027E" w:rsidR="007241B0" w:rsidRDefault="007241B0" w:rsidP="001B14F6">
      <w:pPr>
        <w:spacing w:line="276" w:lineRule="auto"/>
        <w:jc w:val="both"/>
        <w:rPr>
          <w:rFonts w:ascii="Garamond" w:hAnsi="Garamond"/>
          <w:color w:val="C00000"/>
        </w:rPr>
      </w:pPr>
    </w:p>
    <w:p w14:paraId="21475911" w14:textId="06382752" w:rsidR="007241B0" w:rsidRDefault="007241B0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7241B0">
        <w:rPr>
          <w:rFonts w:ascii="Garamond" w:hAnsi="Garamond"/>
          <w:b/>
          <w:bCs/>
        </w:rPr>
        <w:t>Data access and cleaning methods</w:t>
      </w:r>
      <w:r>
        <w:rPr>
          <w:rFonts w:ascii="Garamond" w:hAnsi="Garamond"/>
          <w:b/>
          <w:bCs/>
        </w:rPr>
        <w:t>.</w:t>
      </w:r>
    </w:p>
    <w:p w14:paraId="33491921" w14:textId="1655E480" w:rsidR="007241B0" w:rsidRDefault="007241B0" w:rsidP="001B14F6">
      <w:pPr>
        <w:spacing w:line="276" w:lineRule="auto"/>
        <w:jc w:val="both"/>
        <w:rPr>
          <w:rFonts w:ascii="Garamond" w:hAnsi="Garamond"/>
          <w:b/>
          <w:bCs/>
        </w:rPr>
      </w:pPr>
    </w:p>
    <w:p w14:paraId="782BD059" w14:textId="78306B77" w:rsidR="007241B0" w:rsidRPr="007241B0" w:rsidRDefault="007241B0" w:rsidP="001B14F6">
      <w:pPr>
        <w:spacing w:line="276" w:lineRule="auto"/>
        <w:jc w:val="both"/>
        <w:rPr>
          <w:rFonts w:ascii="Garamond" w:hAnsi="Garamond"/>
          <w:b/>
          <w:bCs/>
        </w:rPr>
      </w:pPr>
      <w:r w:rsidRPr="007241B0">
        <w:rPr>
          <w:rFonts w:ascii="Garamond" w:hAnsi="Garamond"/>
          <w:b/>
          <w:bCs/>
        </w:rPr>
        <w:t>Linkage</w:t>
      </w:r>
      <w:r>
        <w:rPr>
          <w:rFonts w:ascii="Garamond" w:hAnsi="Garamond"/>
          <w:b/>
          <w:bCs/>
        </w:rPr>
        <w:t>.</w:t>
      </w:r>
    </w:p>
    <w:p w14:paraId="3DB5A5DF" w14:textId="77777777" w:rsidR="000F41C6" w:rsidRPr="00060EA3" w:rsidRDefault="000F41C6" w:rsidP="00A249D8">
      <w:pPr>
        <w:spacing w:line="276" w:lineRule="auto"/>
        <w:rPr>
          <w:rFonts w:ascii="Garamond" w:hAnsi="Garamond"/>
        </w:rPr>
      </w:pPr>
    </w:p>
    <w:sectPr w:rsidR="000F41C6" w:rsidRPr="00060EA3" w:rsidSect="00A206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43578"/>
    <w:multiLevelType w:val="hybridMultilevel"/>
    <w:tmpl w:val="55A06416"/>
    <w:lvl w:ilvl="0" w:tplc="30A0D162">
      <w:numFmt w:val="bullet"/>
      <w:lvlText w:val="—"/>
      <w:lvlJc w:val="left"/>
      <w:pPr>
        <w:ind w:left="4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D5F2A92"/>
    <w:multiLevelType w:val="hybridMultilevel"/>
    <w:tmpl w:val="B6DCCA24"/>
    <w:lvl w:ilvl="0" w:tplc="F5DC8F2A">
      <w:numFmt w:val="bullet"/>
      <w:lvlText w:val="—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3"/>
    <w:rsid w:val="00006C81"/>
    <w:rsid w:val="00017EE7"/>
    <w:rsid w:val="0003305C"/>
    <w:rsid w:val="000351DA"/>
    <w:rsid w:val="000411AE"/>
    <w:rsid w:val="00044BD7"/>
    <w:rsid w:val="00044C7C"/>
    <w:rsid w:val="00044D92"/>
    <w:rsid w:val="0005116C"/>
    <w:rsid w:val="00053A72"/>
    <w:rsid w:val="00053E77"/>
    <w:rsid w:val="00055A7A"/>
    <w:rsid w:val="00056EC1"/>
    <w:rsid w:val="00060EA3"/>
    <w:rsid w:val="00064462"/>
    <w:rsid w:val="00082DFF"/>
    <w:rsid w:val="00087AEB"/>
    <w:rsid w:val="00094DD5"/>
    <w:rsid w:val="000A1464"/>
    <w:rsid w:val="000A154A"/>
    <w:rsid w:val="000A29ED"/>
    <w:rsid w:val="000A78EC"/>
    <w:rsid w:val="000C0598"/>
    <w:rsid w:val="000D3174"/>
    <w:rsid w:val="000E3823"/>
    <w:rsid w:val="000E63B8"/>
    <w:rsid w:val="000F1D21"/>
    <w:rsid w:val="000F41C6"/>
    <w:rsid w:val="001304BB"/>
    <w:rsid w:val="00154518"/>
    <w:rsid w:val="001804CD"/>
    <w:rsid w:val="00185681"/>
    <w:rsid w:val="00191690"/>
    <w:rsid w:val="00195C84"/>
    <w:rsid w:val="001B14F6"/>
    <w:rsid w:val="001B2099"/>
    <w:rsid w:val="001B28A6"/>
    <w:rsid w:val="001C0120"/>
    <w:rsid w:val="001C0D0F"/>
    <w:rsid w:val="001C3C0A"/>
    <w:rsid w:val="001E0F3D"/>
    <w:rsid w:val="001E1EBA"/>
    <w:rsid w:val="001E41D6"/>
    <w:rsid w:val="001E5DB1"/>
    <w:rsid w:val="00210CBA"/>
    <w:rsid w:val="002316F0"/>
    <w:rsid w:val="002366E1"/>
    <w:rsid w:val="00264713"/>
    <w:rsid w:val="0026654D"/>
    <w:rsid w:val="002808A3"/>
    <w:rsid w:val="00281CA1"/>
    <w:rsid w:val="002A09DD"/>
    <w:rsid w:val="002A1BF8"/>
    <w:rsid w:val="002B195B"/>
    <w:rsid w:val="002B6598"/>
    <w:rsid w:val="002C6512"/>
    <w:rsid w:val="002D307A"/>
    <w:rsid w:val="002D53E9"/>
    <w:rsid w:val="002F3878"/>
    <w:rsid w:val="002F4AA2"/>
    <w:rsid w:val="0030286B"/>
    <w:rsid w:val="00302B26"/>
    <w:rsid w:val="003107C5"/>
    <w:rsid w:val="0032287D"/>
    <w:rsid w:val="0032619A"/>
    <w:rsid w:val="00326F59"/>
    <w:rsid w:val="00342E69"/>
    <w:rsid w:val="00344F05"/>
    <w:rsid w:val="00353072"/>
    <w:rsid w:val="00357AD8"/>
    <w:rsid w:val="00363154"/>
    <w:rsid w:val="0038186F"/>
    <w:rsid w:val="003B4581"/>
    <w:rsid w:val="003C3C0C"/>
    <w:rsid w:val="003D4511"/>
    <w:rsid w:val="00404E07"/>
    <w:rsid w:val="00410BCA"/>
    <w:rsid w:val="004223A8"/>
    <w:rsid w:val="00426954"/>
    <w:rsid w:val="00452B7C"/>
    <w:rsid w:val="00464315"/>
    <w:rsid w:val="00471671"/>
    <w:rsid w:val="00481B7E"/>
    <w:rsid w:val="00491ED4"/>
    <w:rsid w:val="004930E8"/>
    <w:rsid w:val="004A09B7"/>
    <w:rsid w:val="004D05E7"/>
    <w:rsid w:val="004D1CC4"/>
    <w:rsid w:val="004D509A"/>
    <w:rsid w:val="004E2448"/>
    <w:rsid w:val="004E282C"/>
    <w:rsid w:val="004E5A12"/>
    <w:rsid w:val="00504242"/>
    <w:rsid w:val="00515551"/>
    <w:rsid w:val="005179C7"/>
    <w:rsid w:val="005201BB"/>
    <w:rsid w:val="00534C2E"/>
    <w:rsid w:val="00535EBC"/>
    <w:rsid w:val="00536FE2"/>
    <w:rsid w:val="005423F0"/>
    <w:rsid w:val="00547A76"/>
    <w:rsid w:val="00547EF9"/>
    <w:rsid w:val="00556A54"/>
    <w:rsid w:val="005841E9"/>
    <w:rsid w:val="0058589B"/>
    <w:rsid w:val="00592600"/>
    <w:rsid w:val="00592CA0"/>
    <w:rsid w:val="005A3E6A"/>
    <w:rsid w:val="005A4133"/>
    <w:rsid w:val="005B58A5"/>
    <w:rsid w:val="005C0F5F"/>
    <w:rsid w:val="005C178B"/>
    <w:rsid w:val="005C34EA"/>
    <w:rsid w:val="005D2897"/>
    <w:rsid w:val="005E6160"/>
    <w:rsid w:val="005F054F"/>
    <w:rsid w:val="005F7D7C"/>
    <w:rsid w:val="006053B6"/>
    <w:rsid w:val="00622587"/>
    <w:rsid w:val="006243FB"/>
    <w:rsid w:val="0063456F"/>
    <w:rsid w:val="00641A0D"/>
    <w:rsid w:val="00652AF8"/>
    <w:rsid w:val="00653BF6"/>
    <w:rsid w:val="00666B50"/>
    <w:rsid w:val="00672708"/>
    <w:rsid w:val="00676B8B"/>
    <w:rsid w:val="0067729F"/>
    <w:rsid w:val="00677638"/>
    <w:rsid w:val="006844F0"/>
    <w:rsid w:val="0069159C"/>
    <w:rsid w:val="006A6D33"/>
    <w:rsid w:val="006C65DE"/>
    <w:rsid w:val="006D698D"/>
    <w:rsid w:val="006E11AE"/>
    <w:rsid w:val="006E2D6A"/>
    <w:rsid w:val="006E3A10"/>
    <w:rsid w:val="006E5A92"/>
    <w:rsid w:val="00704541"/>
    <w:rsid w:val="007056C0"/>
    <w:rsid w:val="00705832"/>
    <w:rsid w:val="007060F6"/>
    <w:rsid w:val="007241B0"/>
    <w:rsid w:val="00725B99"/>
    <w:rsid w:val="0073060D"/>
    <w:rsid w:val="00743694"/>
    <w:rsid w:val="0075134D"/>
    <w:rsid w:val="00752591"/>
    <w:rsid w:val="0077738E"/>
    <w:rsid w:val="0078584D"/>
    <w:rsid w:val="00796C81"/>
    <w:rsid w:val="007C3E90"/>
    <w:rsid w:val="007C58A3"/>
    <w:rsid w:val="007D442D"/>
    <w:rsid w:val="007E45D4"/>
    <w:rsid w:val="007E6201"/>
    <w:rsid w:val="00801880"/>
    <w:rsid w:val="00812F49"/>
    <w:rsid w:val="00821778"/>
    <w:rsid w:val="0085344C"/>
    <w:rsid w:val="00861EB0"/>
    <w:rsid w:val="00863258"/>
    <w:rsid w:val="00863A9D"/>
    <w:rsid w:val="00864283"/>
    <w:rsid w:val="00884A7F"/>
    <w:rsid w:val="00885413"/>
    <w:rsid w:val="00891DA5"/>
    <w:rsid w:val="00892E65"/>
    <w:rsid w:val="008952AF"/>
    <w:rsid w:val="008C7E2A"/>
    <w:rsid w:val="008D0B80"/>
    <w:rsid w:val="008D4E85"/>
    <w:rsid w:val="008D4FF3"/>
    <w:rsid w:val="008D61FF"/>
    <w:rsid w:val="008E05E0"/>
    <w:rsid w:val="009024A3"/>
    <w:rsid w:val="00925040"/>
    <w:rsid w:val="00934BD0"/>
    <w:rsid w:val="009474AB"/>
    <w:rsid w:val="009625C3"/>
    <w:rsid w:val="00972912"/>
    <w:rsid w:val="0097419C"/>
    <w:rsid w:val="00977BCE"/>
    <w:rsid w:val="00981A95"/>
    <w:rsid w:val="009905B7"/>
    <w:rsid w:val="00995AAC"/>
    <w:rsid w:val="009969AE"/>
    <w:rsid w:val="009A042B"/>
    <w:rsid w:val="009A1167"/>
    <w:rsid w:val="009B5633"/>
    <w:rsid w:val="009C46C7"/>
    <w:rsid w:val="009D1747"/>
    <w:rsid w:val="009D3747"/>
    <w:rsid w:val="009E610C"/>
    <w:rsid w:val="009E7DEE"/>
    <w:rsid w:val="00A03B3E"/>
    <w:rsid w:val="00A04754"/>
    <w:rsid w:val="00A1679D"/>
    <w:rsid w:val="00A206C5"/>
    <w:rsid w:val="00A249D8"/>
    <w:rsid w:val="00A25AB7"/>
    <w:rsid w:val="00A3791A"/>
    <w:rsid w:val="00A37B82"/>
    <w:rsid w:val="00A53385"/>
    <w:rsid w:val="00A606B4"/>
    <w:rsid w:val="00A60E99"/>
    <w:rsid w:val="00A64C9A"/>
    <w:rsid w:val="00A75469"/>
    <w:rsid w:val="00A77093"/>
    <w:rsid w:val="00A82E20"/>
    <w:rsid w:val="00AA3E96"/>
    <w:rsid w:val="00AC0599"/>
    <w:rsid w:val="00B2371E"/>
    <w:rsid w:val="00B356BE"/>
    <w:rsid w:val="00B451AA"/>
    <w:rsid w:val="00B46FEC"/>
    <w:rsid w:val="00B50397"/>
    <w:rsid w:val="00B5336C"/>
    <w:rsid w:val="00B670A3"/>
    <w:rsid w:val="00B760E3"/>
    <w:rsid w:val="00BB3470"/>
    <w:rsid w:val="00BD232A"/>
    <w:rsid w:val="00BD5A1B"/>
    <w:rsid w:val="00BD697A"/>
    <w:rsid w:val="00BE2B1D"/>
    <w:rsid w:val="00BE2CDA"/>
    <w:rsid w:val="00BE74E1"/>
    <w:rsid w:val="00BF32F8"/>
    <w:rsid w:val="00BF3F86"/>
    <w:rsid w:val="00BF6C02"/>
    <w:rsid w:val="00C16CB3"/>
    <w:rsid w:val="00C30624"/>
    <w:rsid w:val="00C30E3C"/>
    <w:rsid w:val="00C3229D"/>
    <w:rsid w:val="00C40372"/>
    <w:rsid w:val="00C40E3A"/>
    <w:rsid w:val="00C517E2"/>
    <w:rsid w:val="00C610FA"/>
    <w:rsid w:val="00C6560E"/>
    <w:rsid w:val="00C67C55"/>
    <w:rsid w:val="00C67EBE"/>
    <w:rsid w:val="00C7194F"/>
    <w:rsid w:val="00C7442B"/>
    <w:rsid w:val="00C966DB"/>
    <w:rsid w:val="00CA09CA"/>
    <w:rsid w:val="00CA1E45"/>
    <w:rsid w:val="00CB5469"/>
    <w:rsid w:val="00CC5EA2"/>
    <w:rsid w:val="00CD3BA5"/>
    <w:rsid w:val="00CE509F"/>
    <w:rsid w:val="00CF4901"/>
    <w:rsid w:val="00CF5EDA"/>
    <w:rsid w:val="00D10BF4"/>
    <w:rsid w:val="00D21640"/>
    <w:rsid w:val="00D240D5"/>
    <w:rsid w:val="00D26CCD"/>
    <w:rsid w:val="00D55A61"/>
    <w:rsid w:val="00D678C6"/>
    <w:rsid w:val="00D86575"/>
    <w:rsid w:val="00D93BEC"/>
    <w:rsid w:val="00DA6C2C"/>
    <w:rsid w:val="00DB4813"/>
    <w:rsid w:val="00DC2245"/>
    <w:rsid w:val="00DC7F4F"/>
    <w:rsid w:val="00DD0A02"/>
    <w:rsid w:val="00DD1261"/>
    <w:rsid w:val="00DE1D17"/>
    <w:rsid w:val="00DE609C"/>
    <w:rsid w:val="00DE6CAC"/>
    <w:rsid w:val="00DF49F1"/>
    <w:rsid w:val="00DF53CD"/>
    <w:rsid w:val="00E0619A"/>
    <w:rsid w:val="00E21E9B"/>
    <w:rsid w:val="00E3029E"/>
    <w:rsid w:val="00E31A05"/>
    <w:rsid w:val="00E334E0"/>
    <w:rsid w:val="00E460F4"/>
    <w:rsid w:val="00E46514"/>
    <w:rsid w:val="00E6421C"/>
    <w:rsid w:val="00E678DB"/>
    <w:rsid w:val="00E67BF8"/>
    <w:rsid w:val="00E70A14"/>
    <w:rsid w:val="00E833D4"/>
    <w:rsid w:val="00EA0620"/>
    <w:rsid w:val="00EA2091"/>
    <w:rsid w:val="00EE4A00"/>
    <w:rsid w:val="00EF0AC2"/>
    <w:rsid w:val="00EF2BBC"/>
    <w:rsid w:val="00F004FE"/>
    <w:rsid w:val="00F12190"/>
    <w:rsid w:val="00F2780F"/>
    <w:rsid w:val="00F45AE5"/>
    <w:rsid w:val="00F560D7"/>
    <w:rsid w:val="00F57E2A"/>
    <w:rsid w:val="00F81C07"/>
    <w:rsid w:val="00F81ECD"/>
    <w:rsid w:val="00F8201A"/>
    <w:rsid w:val="00F84526"/>
    <w:rsid w:val="00F875DE"/>
    <w:rsid w:val="00FB41B1"/>
    <w:rsid w:val="00FB7F49"/>
    <w:rsid w:val="00FC3AA7"/>
    <w:rsid w:val="00F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5C52"/>
  <w15:chartTrackingRefBased/>
  <w15:docId w15:val="{9BA77A1E-4F79-6144-9D77-AD59B7A2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1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A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isoft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2019-11-08T17:02:00Z</dcterms:created>
  <dcterms:modified xsi:type="dcterms:W3CDTF">2020-01-06T17:02:00Z</dcterms:modified>
</cp:coreProperties>
</file>