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2A" w:val="clear"/>
            <w:tcMar>
              <w:top w:type="dxa" w:w="720"/>
              <w:left w:type="dxa" w:w="720"/>
              <w:bottom w:type="dxa" w:w="720"/>
              <w:right w:type="dxa" w:w="720"/>
            </w:tcMar>
          </w:tcPr>
          <w:p>
            <w:pPr>
              <w:spacing w:before="0" w:after="160"/>
              <w:jc w:val="center"/>
            </w:pPr>
            <w:r>
              <w:rPr>
                <w:rFonts w:ascii="Georgia" w:cs="Georgia" w:eastAsia="Georgia" w:hAnsi="Georgia"/>
                <w:b/>
                <w:bCs/>
                <w:color w:val="C9A84C"/>
                <w:sz w:val="72"/>
                <w:szCs w:val="72"/>
              </w:rPr>
              <w:t xml:space="preserve">LINKSDATA LAB</w:t>
            </w:r>
          </w:p>
          <w:p>
            <w:pPr>
              <w:spacing w:before="0" w:after="160"/>
              <w:jc w:val="center"/>
            </w:pPr>
            <w:r>
              <w:rPr>
                <w:rFonts w:ascii="Arial" w:cs="Arial" w:eastAsia="Arial" w:hAnsi="Arial"/>
                <w:color w:val="F5F0E8"/>
                <w:sz w:val="36"/>
                <w:szCs w:val="36"/>
              </w:rPr>
              <w:t xml:space="preserve">Brand Guidelines</w:t>
            </w:r>
          </w:p>
          <w:p>
            <w:pPr>
              <w:jc w:val="center"/>
            </w:pPr>
            <w:r>
              <w:rPr>
                <w:rFonts w:ascii="Arial" w:cs="Arial" w:eastAsia="Arial" w:hAnsi="Arial"/>
                <w:color w:val="A0C4B0"/>
                <w:sz w:val="22"/>
                <w:szCs w:val="22"/>
              </w:rPr>
              <w:t xml:space="preserve">Version 1.0  ·  2025</w:t>
            </w:r>
          </w:p>
        </w:tc>
      </w:tr>
    </w:tbl>
    <w:p>
      <w:pPr>
        <w:spacing w:before="400" w:after="0"/>
      </w:pPr>
      <w:r>
        <w:t xml:space="preserve"/>
      </w:r>
    </w:p>
    <w:p>
      <w:pPr>
        <w:spacing w:before="0" w:after="600"/>
        <w:jc w:val="center"/>
      </w:pPr>
      <w:r>
        <w:rPr>
          <w:rFonts w:ascii="Georgia" w:cs="Georgia" w:eastAsia="Georgia" w:hAnsi="Georgia"/>
          <w:i/>
          <w:iCs/>
          <w:color w:val="AAAAAA"/>
          <w:sz w:val="28"/>
          <w:szCs w:val="28"/>
        </w:rPr>
        <w:t xml:space="preserve">Golf Analytics &amp; Player Intelligence</w:t>
      </w:r>
    </w:p>
    <w:p>
      <w:pPr>
        <w:pBdr>
          <w:bottom w:val="single" w:color="3D7A52" w:sz="4" w:space="1"/>
        </w:pBdr>
        <w:spacing w:before="240"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A3D" w:val="clear"/>
            <w:tcMar>
              <w:top w:type="dxa" w:w="200"/>
              <w:left w:type="dxa" w:w="360"/>
              <w:bottom w:type="dxa" w:w="200"/>
              <w:right w:type="dxa" w:w="360"/>
            </w:tcMar>
          </w:tcPr>
          <w:p>
            <w:r>
              <w:rPr>
                <w:rFonts w:ascii="Arial" w:cs="Arial" w:eastAsia="Arial" w:hAnsi="Arial"/>
                <w:b/>
                <w:bCs/>
                <w:color w:val="F5F0E8"/>
                <w:spacing w:val="120"/>
                <w:sz w:val="26"/>
                <w:szCs w:val="26"/>
              </w:rPr>
              <w:t xml:space="preserve">01 — BRAND OVERVIEW</w:t>
            </w:r>
          </w:p>
        </w:tc>
      </w:tr>
    </w:tbl>
    <w:p>
      <w:pPr>
        <w:spacing w:before="200" w:after="0"/>
      </w:pPr>
      <w:r>
        <w:t xml:space="preserve"/>
      </w:r>
    </w:p>
    <w:p>
      <w:pPr>
        <w:spacing w:before="360" w:after="120"/>
      </w:pPr>
      <w:r>
        <w:rPr>
          <w:rFonts w:ascii="Arial" w:cs="Arial" w:eastAsia="Arial" w:hAnsi="Arial"/>
          <w:b/>
          <w:bCs/>
          <w:color w:val="1A3A2A"/>
          <w:sz w:val="28"/>
          <w:szCs w:val="28"/>
        </w:rPr>
        <w:t xml:space="preserve">Who We Are</w:t>
      </w:r>
    </w:p>
    <w:p>
      <w:pPr>
        <w:spacing w:before="60" w:after="100"/>
      </w:pPr>
      <w:r>
        <w:rPr>
          <w:rFonts w:ascii="Arial" w:cs="Arial" w:eastAsia="Arial" w:hAnsi="Arial"/>
          <w:b w:val="false"/>
          <w:bCs w:val="false"/>
          <w:color w:val="111111"/>
          <w:sz w:val="22"/>
          <w:szCs w:val="22"/>
        </w:rPr>
        <w:t xml:space="preserve">LinksData Lab is a golf analytics platform that merges the precision of data science with the elegance of the game. We transform complex player statistics into clear, compelling visual intelligence — equipping fans, analysts, and media professionals with the tools to understand the modern tour game at a deeper level.</w:t>
      </w:r>
    </w:p>
    <w:p>
      <w:pPr>
        <w:spacing w:before="120" w:after="0"/>
      </w:pPr>
      <w:r>
        <w:t xml:space="preserve"/>
      </w:r>
    </w:p>
    <w:p>
      <w:pPr>
        <w:spacing w:before="360" w:after="120"/>
      </w:pPr>
      <w:r>
        <w:rPr>
          <w:rFonts w:ascii="Arial" w:cs="Arial" w:eastAsia="Arial" w:hAnsi="Arial"/>
          <w:b/>
          <w:bCs/>
          <w:color w:val="1A3A2A"/>
          <w:sz w:val="28"/>
          <w:szCs w:val="28"/>
        </w:rPr>
        <w:t xml:space="preserve">Brand Personality</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Attribute</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What It Means</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Precise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Data-driven and accurate — every number tells a story.</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Sophisticated</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Premium, restrained design that respects the heritage of golf.</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Analytical</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Rooted in methodology, not speculation.</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Modern</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Forward-looking — tech-native while respectful of tradition.</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Credible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Trusted source of truth for serious golf audiences.</w:t>
            </w:r>
          </w:p>
        </w:tc>
      </w:tr>
    </w:tbl>
    <w:p>
      <w:pPr>
        <w:spacing w:before="300" w:after="0"/>
      </w:pPr>
      <w:r>
        <w:t xml:space="preserve"/>
      </w:r>
    </w:p>
    <w:p>
      <w:pPr>
        <w:spacing w:before="360" w:after="120"/>
      </w:pPr>
      <w:r>
        <w:rPr>
          <w:rFonts w:ascii="Arial" w:cs="Arial" w:eastAsia="Arial" w:hAnsi="Arial"/>
          <w:b/>
          <w:bCs/>
          <w:color w:val="1A3A2A"/>
          <w:sz w:val="28"/>
          <w:szCs w:val="28"/>
        </w:rPr>
        <w:t xml:space="preserve">Brand Tagline</w:t>
      </w:r>
    </w:p>
    <w:p>
      <w:pPr>
        <w:spacing w:before="80" w:after="160"/>
      </w:pPr>
      <w:r>
        <w:rPr>
          <w:rFonts w:ascii="Georgia" w:cs="Georgia" w:eastAsia="Georgia" w:hAnsi="Georgia"/>
          <w:b/>
          <w:bCs/>
          <w:i/>
          <w:iCs/>
          <w:color w:val="2D5A3D"/>
          <w:sz w:val="28"/>
          <w:szCs w:val="28"/>
        </w:rPr>
        <w:t xml:space="preserve">"The Science Behind the Swing."</w:t>
      </w:r>
    </w:p>
    <w:p>
      <w:pPr>
        <w:pBdr>
          <w:bottom w:val="single" w:color="3D7A52" w:sz="4" w:space="1"/>
        </w:pBdr>
        <w:spacing w:before="240"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A3D" w:val="clear"/>
            <w:tcMar>
              <w:top w:type="dxa" w:w="200"/>
              <w:left w:type="dxa" w:w="360"/>
              <w:bottom w:type="dxa" w:w="200"/>
              <w:right w:type="dxa" w:w="360"/>
            </w:tcMar>
          </w:tcPr>
          <w:p>
            <w:r>
              <w:rPr>
                <w:rFonts w:ascii="Arial" w:cs="Arial" w:eastAsia="Arial" w:hAnsi="Arial"/>
                <w:b/>
                <w:bCs/>
                <w:color w:val="F5F0E8"/>
                <w:spacing w:val="120"/>
                <w:sz w:val="26"/>
                <w:szCs w:val="26"/>
              </w:rPr>
              <w:t xml:space="preserve">02 — LOGO</w:t>
            </w:r>
          </w:p>
        </w:tc>
      </w:tr>
    </w:tbl>
    <w:p>
      <w:pPr>
        <w:spacing w:before="200" w:after="0"/>
      </w:pPr>
      <w:r>
        <w:t xml:space="preserve"/>
      </w:r>
    </w:p>
    <w:p>
      <w:pPr>
        <w:spacing w:before="360" w:after="120"/>
      </w:pPr>
      <w:r>
        <w:rPr>
          <w:rFonts w:ascii="Arial" w:cs="Arial" w:eastAsia="Arial" w:hAnsi="Arial"/>
          <w:b/>
          <w:bCs/>
          <w:color w:val="1A3A2A"/>
          <w:sz w:val="28"/>
          <w:szCs w:val="28"/>
        </w:rPr>
        <w:t xml:space="preserve">Logo Mark</w:t>
      </w:r>
    </w:p>
    <w:p>
      <w:pPr>
        <w:spacing w:before="60" w:after="100"/>
      </w:pPr>
      <w:r>
        <w:rPr>
          <w:rFonts w:ascii="Arial" w:cs="Arial" w:eastAsia="Arial" w:hAnsi="Arial"/>
          <w:b w:val="false"/>
          <w:bCs w:val="false"/>
          <w:color w:val="111111"/>
          <w:sz w:val="22"/>
          <w:szCs w:val="22"/>
        </w:rPr>
        <w:t xml:space="preserve">The LinksData Lab logo combines two conceptual elements: a pentagon shape drawn from the five dimensions of strokes-gained analysis (Off the Tee, Approach, Around Green, Putting, and Overall), and a golf flag pin emerging from its centre. The pentagon's edges evoke a radar chart — a core visual language of the brand — while the flag grounds it in golf.</w:t>
      </w:r>
    </w:p>
    <w:p>
      <w:pPr>
        <w:spacing w:before="120" w:after="0"/>
      </w:pPr>
      <w:r>
        <w:t xml:space="preserve"/>
      </w:r>
    </w:p>
    <w:p>
      <w:pPr>
        <w:spacing w:before="360" w:after="120"/>
      </w:pPr>
      <w:r>
        <w:rPr>
          <w:rFonts w:ascii="Arial" w:cs="Arial" w:eastAsia="Arial" w:hAnsi="Arial"/>
          <w:b/>
          <w:bCs/>
          <w:color w:val="1A3A2A"/>
          <w:sz w:val="28"/>
          <w:szCs w:val="28"/>
        </w:rPr>
        <w:t xml:space="preserve">Logo Construction</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Element</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Specification</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Icon</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Pentagon with internal radar lines and centre golf flag — rendered in deep teal/green with white line work</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Wordmark</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"LINKSDATA LAB" in a clean, wide-spaced sans-serif — uppercase, light weight</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Relationship</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Icon always appears to the left of the wordmark, vertically centred</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Clear Space</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Minimum clear space of 1x the height of the "L" in "LAB" on all sides</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Min. Size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120px wide for digital; 1.2 inches wide for print</w:t>
            </w:r>
          </w:p>
        </w:tc>
      </w:tr>
    </w:tbl>
    <w:p>
      <w:pPr>
        <w:spacing w:before="200" w:after="0"/>
      </w:pPr>
      <w:r>
        <w:t xml:space="preserve"/>
      </w:r>
    </w:p>
    <w:p>
      <w:pPr>
        <w:spacing w:before="360" w:after="120"/>
      </w:pPr>
      <w:r>
        <w:rPr>
          <w:rFonts w:ascii="Arial" w:cs="Arial" w:eastAsia="Arial" w:hAnsi="Arial"/>
          <w:b/>
          <w:bCs/>
          <w:color w:val="1A3A2A"/>
          <w:sz w:val="28"/>
          <w:szCs w:val="28"/>
        </w:rPr>
        <w:t xml:space="preserve">Logo Colour Variations</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Variant</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Usage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Primary</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Dark background — icon in teal-green (#2A7A5A), wordmark in white (#FFFFFF)</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Light Background</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Icon in deep green (#1A3A2A), wordmark in deep green (#1A3A2A)</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Gold Accent</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Icon in gold (#C9A84C) on deep green background — special use only (awards, headers)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Monochrome</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Full white on dark backgrounds; full deep green on light backgrounds</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Reversed</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Never use on busy photographic backgrounds without a containing shape</w:t>
            </w:r>
          </w:p>
        </w:tc>
      </w:tr>
    </w:tbl>
    <w:p>
      <w:pPr>
        <w:spacing w:before="200" w:after="0"/>
      </w:pPr>
      <w:r>
        <w:t xml:space="preserve"/>
      </w:r>
    </w:p>
    <w:p>
      <w:pPr>
        <w:spacing w:before="360" w:after="120"/>
      </w:pPr>
      <w:r>
        <w:rPr>
          <w:rFonts w:ascii="Arial" w:cs="Arial" w:eastAsia="Arial" w:hAnsi="Arial"/>
          <w:b/>
          <w:bCs/>
          <w:color w:val="1A3A2A"/>
          <w:sz w:val="28"/>
          <w:szCs w:val="28"/>
        </w:rPr>
        <w:t xml:space="preserve">Logo Don'ts</w:t>
      </w:r>
    </w:p>
    <w:p>
      <w:pPr>
        <w:pStyle w:val="ListParagraph"/>
        <w:numPr>
          <w:ilvl w:val="0"/>
          <w:numId w:val="2"/>
        </w:numPr>
        <w:spacing w:before="40" w:after="40"/>
      </w:pPr>
      <w:r>
        <w:rPr>
          <w:rFonts w:ascii="Arial" w:cs="Arial" w:eastAsia="Arial" w:hAnsi="Arial"/>
          <w:color w:val="111111"/>
          <w:sz w:val="22"/>
          <w:szCs w:val="22"/>
        </w:rPr>
        <w:t xml:space="preserve">Do not recolour the icon or wordmark independently of one another</w:t>
      </w:r>
    </w:p>
    <w:p>
      <w:pPr>
        <w:pStyle w:val="ListParagraph"/>
        <w:numPr>
          <w:ilvl w:val="0"/>
          <w:numId w:val="2"/>
        </w:numPr>
        <w:spacing w:before="40" w:after="40"/>
      </w:pPr>
      <w:r>
        <w:rPr>
          <w:rFonts w:ascii="Arial" w:cs="Arial" w:eastAsia="Arial" w:hAnsi="Arial"/>
          <w:color w:val="111111"/>
          <w:sz w:val="22"/>
          <w:szCs w:val="22"/>
        </w:rPr>
        <w:t xml:space="preserve">Do not stretch, skew, or rotate the logo</w:t>
      </w:r>
    </w:p>
    <w:p>
      <w:pPr>
        <w:pStyle w:val="ListParagraph"/>
        <w:numPr>
          <w:ilvl w:val="0"/>
          <w:numId w:val="2"/>
        </w:numPr>
        <w:spacing w:before="40" w:after="40"/>
      </w:pPr>
      <w:r>
        <w:rPr>
          <w:rFonts w:ascii="Arial" w:cs="Arial" w:eastAsia="Arial" w:hAnsi="Arial"/>
          <w:color w:val="111111"/>
          <w:sz w:val="22"/>
          <w:szCs w:val="22"/>
        </w:rPr>
        <w:t xml:space="preserve">Do not add drop shadows, gradients, or outlines to the logo mark</w:t>
      </w:r>
    </w:p>
    <w:p>
      <w:pPr>
        <w:pStyle w:val="ListParagraph"/>
        <w:numPr>
          <w:ilvl w:val="0"/>
          <w:numId w:val="2"/>
        </w:numPr>
        <w:spacing w:before="40" w:after="40"/>
      </w:pPr>
      <w:r>
        <w:rPr>
          <w:rFonts w:ascii="Arial" w:cs="Arial" w:eastAsia="Arial" w:hAnsi="Arial"/>
          <w:color w:val="111111"/>
          <w:sz w:val="22"/>
          <w:szCs w:val="22"/>
        </w:rPr>
        <w:t xml:space="preserve">Do not use the wordmark without the icon</w:t>
      </w:r>
    </w:p>
    <w:p>
      <w:pPr>
        <w:pStyle w:val="ListParagraph"/>
        <w:numPr>
          <w:ilvl w:val="0"/>
          <w:numId w:val="2"/>
        </w:numPr>
        <w:spacing w:before="40" w:after="40"/>
      </w:pPr>
      <w:r>
        <w:rPr>
          <w:rFonts w:ascii="Arial" w:cs="Arial" w:eastAsia="Arial" w:hAnsi="Arial"/>
          <w:color w:val="111111"/>
          <w:sz w:val="22"/>
          <w:szCs w:val="22"/>
        </w:rPr>
        <w:t xml:space="preserve">Do not place the logo on backgrounds that reduce contrast below 4.5:1</w:t>
      </w:r>
    </w:p>
    <w:p>
      <w:pPr>
        <w:pStyle w:val="ListParagraph"/>
        <w:numPr>
          <w:ilvl w:val="0"/>
          <w:numId w:val="2"/>
        </w:numPr>
        <w:spacing w:before="40" w:after="40"/>
      </w:pPr>
      <w:r>
        <w:rPr>
          <w:rFonts w:ascii="Arial" w:cs="Arial" w:eastAsia="Arial" w:hAnsi="Arial"/>
          <w:color w:val="111111"/>
          <w:sz w:val="22"/>
          <w:szCs w:val="22"/>
        </w:rPr>
        <w:t xml:space="preserve">Do not recreate the logo from scratch — always use approved files</w:t>
      </w:r>
    </w:p>
    <w:p>
      <w:pPr>
        <w:pBdr>
          <w:bottom w:val="single" w:color="3D7A52" w:sz="4" w:space="1"/>
        </w:pBdr>
        <w:spacing w:before="240"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A3D" w:val="clear"/>
            <w:tcMar>
              <w:top w:type="dxa" w:w="200"/>
              <w:left w:type="dxa" w:w="360"/>
              <w:bottom w:type="dxa" w:w="200"/>
              <w:right w:type="dxa" w:w="360"/>
            </w:tcMar>
          </w:tcPr>
          <w:p>
            <w:r>
              <w:rPr>
                <w:rFonts w:ascii="Arial" w:cs="Arial" w:eastAsia="Arial" w:hAnsi="Arial"/>
                <w:b/>
                <w:bCs/>
                <w:color w:val="F5F0E8"/>
                <w:spacing w:val="120"/>
                <w:sz w:val="26"/>
                <w:szCs w:val="26"/>
              </w:rPr>
              <w:t xml:space="preserve">03 — COLOUR PALETTE</w:t>
            </w:r>
          </w:p>
        </w:tc>
      </w:tr>
    </w:tbl>
    <w:p>
      <w:pPr>
        <w:spacing w:before="200" w:after="0"/>
      </w:pPr>
      <w:r>
        <w:t xml:space="preserve"/>
      </w:r>
    </w:p>
    <w:p>
      <w:pPr>
        <w:spacing w:before="360" w:after="120"/>
      </w:pPr>
      <w:r>
        <w:rPr>
          <w:rFonts w:ascii="Arial" w:cs="Arial" w:eastAsia="Arial" w:hAnsi="Arial"/>
          <w:b/>
          <w:bCs/>
          <w:color w:val="1A3A2A"/>
          <w:sz w:val="28"/>
          <w:szCs w:val="28"/>
        </w:rPr>
        <w:t xml:space="preserve">Primary Palette</w:t>
      </w:r>
    </w:p>
    <w:p>
      <w:pPr>
        <w:spacing w:before="60" w:after="100"/>
      </w:pPr>
      <w:r>
        <w:rPr>
          <w:rFonts w:ascii="Arial" w:cs="Arial" w:eastAsia="Arial" w:hAnsi="Arial"/>
          <w:b w:val="false"/>
          <w:bCs w:val="false"/>
          <w:color w:val="111111"/>
          <w:sz w:val="22"/>
          <w:szCs w:val="22"/>
        </w:rPr>
        <w:t xml:space="preserve">The LinksData Lab colour system is inspired by the deep greens of links courses at dawn, punctuated by the warm gold of the trophy podium. The palette is intentionally dark and sophisticated — digital-first, premium, and analytics-oriented.</w:t>
      </w:r>
    </w:p>
    <w:p>
      <w:pPr>
        <w:spacing w:before="200" w:after="0"/>
      </w:pPr>
      <w:r>
        <w:t xml:space="preserve"/>
      </w:r>
    </w:p>
    <w:p>
      <w:pPr>
        <w:spacing w:before="240" w:after="80"/>
      </w:pPr>
      <w:r>
        <w:rPr>
          <w:rFonts w:ascii="Arial" w:cs="Arial" w:eastAsia="Arial" w:hAnsi="Arial"/>
          <w:b/>
          <w:bCs/>
          <w:color w:val="8A6E2F"/>
          <w:sz w:val="22"/>
          <w:szCs w:val="22"/>
        </w:rPr>
        <w:t xml:space="preserve">Core Colours</w:t>
      </w:r>
    </w:p>
    <w:p>
      <w:pPr>
        <w:spacing w:before="1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0D1A14" w:val="clear"/>
            <w:tcMar>
              <w:top w:type="dxa" w:w="0"/>
              <w:left w:type="dxa" w:w="0"/>
              <w:bottom w:type="dxa" w:w="0"/>
              <w:right w:type="dxa" w:w="0"/>
            </w:tcMar>
          </w:tcPr>
          <w:p>
            <w:pPr>
              <w:spacing w:before="800" w:after="800"/>
            </w:pPr>
            <w:r>
              <w:t xml:space="preserve"/>
            </w:r>
          </w:p>
        </w:tc>
        <w:tc>
          <w:tcPr>
            <w:tcW w:type="dxa" w:w="1560"/>
            <w:tcBorders>
              <w:top w:val="none" w:color="FFFFFF" w:sz="0"/>
              <w:left w:val="none" w:color="FFFFFF" w:sz="0"/>
              <w:bottom w:val="none" w:color="FFFFFF" w:sz="0"/>
              <w:right w:val="none" w:color="FFFFFF" w:sz="0"/>
            </w:tcBorders>
            <w:shd w:fill="1A3A2A" w:val="clear"/>
            <w:tcMar>
              <w:top w:type="dxa" w:w="0"/>
              <w:left w:type="dxa" w:w="0"/>
              <w:bottom w:type="dxa" w:w="0"/>
              <w:right w:type="dxa" w:w="0"/>
            </w:tcMar>
          </w:tcPr>
          <w:p>
            <w:pPr>
              <w:spacing w:before="800" w:after="800"/>
            </w:pPr>
            <w:r>
              <w:t xml:space="preserve"/>
            </w:r>
          </w:p>
        </w:tc>
        <w:tc>
          <w:tcPr>
            <w:tcW w:type="dxa" w:w="1560"/>
            <w:tcBorders>
              <w:top w:val="none" w:color="FFFFFF" w:sz="0"/>
              <w:left w:val="none" w:color="FFFFFF" w:sz="0"/>
              <w:bottom w:val="none" w:color="FFFFFF" w:sz="0"/>
              <w:right w:val="none" w:color="FFFFFF" w:sz="0"/>
            </w:tcBorders>
            <w:shd w:fill="2D5A3D" w:val="clear"/>
            <w:tcMar>
              <w:top w:type="dxa" w:w="0"/>
              <w:left w:type="dxa" w:w="0"/>
              <w:bottom w:type="dxa" w:w="0"/>
              <w:right w:type="dxa" w:w="0"/>
            </w:tcMar>
          </w:tcPr>
          <w:p>
            <w:pPr>
              <w:spacing w:before="800" w:after="800"/>
            </w:pPr>
            <w:r>
              <w:t xml:space="preserve"/>
            </w:r>
          </w:p>
        </w:tc>
        <w:tc>
          <w:tcPr>
            <w:tcW w:type="dxa" w:w="1560"/>
            <w:tcBorders>
              <w:top w:val="none" w:color="FFFFFF" w:sz="0"/>
              <w:left w:val="none" w:color="FFFFFF" w:sz="0"/>
              <w:bottom w:val="none" w:color="FFFFFF" w:sz="0"/>
              <w:right w:val="none" w:color="FFFFFF" w:sz="0"/>
            </w:tcBorders>
            <w:shd w:fill="2A7A5A" w:val="clear"/>
            <w:tcMar>
              <w:top w:type="dxa" w:w="0"/>
              <w:left w:type="dxa" w:w="0"/>
              <w:bottom w:type="dxa" w:w="0"/>
              <w:right w:type="dxa" w:w="0"/>
            </w:tcMar>
          </w:tcPr>
          <w:p>
            <w:pPr>
              <w:spacing w:before="800" w:after="800"/>
            </w:pPr>
            <w:r>
              <w:t xml:space="preserve"/>
            </w:r>
          </w:p>
        </w:tc>
        <w:tc>
          <w:tcPr>
            <w:tcW w:type="dxa" w:w="1560"/>
            <w:tcBorders>
              <w:top w:val="none" w:color="FFFFFF" w:sz="0"/>
              <w:left w:val="none" w:color="FFFFFF" w:sz="0"/>
              <w:bottom w:val="none" w:color="FFFFFF" w:sz="0"/>
              <w:right w:val="none" w:color="FFFFFF" w:sz="0"/>
            </w:tcBorders>
            <w:shd w:fill="C9A84C" w:val="clear"/>
            <w:tcMar>
              <w:top w:type="dxa" w:w="0"/>
              <w:left w:type="dxa" w:w="0"/>
              <w:bottom w:type="dxa" w:w="0"/>
              <w:right w:type="dxa" w:w="0"/>
            </w:tcMar>
          </w:tcPr>
          <w:p>
            <w:pPr>
              <w:spacing w:before="800" w:after="800"/>
            </w:pPr>
            <w:r>
              <w:t xml:space="preserve"/>
            </w:r>
          </w:p>
        </w:tc>
        <w:tc>
          <w:tcPr>
            <w:tcW w:type="dxa" w:w="1560"/>
            <w:tcBorders>
              <w:top w:val="none" w:color="FFFFFF" w:sz="0"/>
              <w:left w:val="none" w:color="FFFFFF" w:sz="0"/>
              <w:bottom w:val="none" w:color="FFFFFF" w:sz="0"/>
              <w:right w:val="none" w:color="FFFFFF" w:sz="0"/>
            </w:tcBorders>
            <w:shd w:fill="F5F0E8" w:val="clear"/>
            <w:tcMar>
              <w:top w:type="dxa" w:w="0"/>
              <w:left w:type="dxa" w:w="0"/>
              <w:bottom w:type="dxa" w:w="0"/>
              <w:right w:type="dxa" w:w="0"/>
            </w:tcMar>
          </w:tcPr>
          <w:p>
            <w:pPr>
              <w:spacing w:before="800" w:after="800"/>
            </w:pPr>
            <w:r>
              <w:t xml:space="preserve"/>
            </w:r>
          </w:p>
        </w:tc>
      </w:tr>
      <w:tr>
        <w:tc>
          <w:tcPr>
            <w:tcW w:type="dxa" w:w="156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b/>
                <w:bCs/>
                <w:color w:val="1A3A2A"/>
                <w:sz w:val="16"/>
                <w:szCs w:val="16"/>
              </w:rPr>
              <w:t xml:space="preserve">Course Dark</w:t>
            </w:r>
          </w:p>
          <w:p>
            <w:pPr>
              <w:jc w:val="center"/>
            </w:pPr>
            <w:r>
              <w:rPr>
                <w:rFonts w:ascii="Courier New" w:cs="Courier New" w:eastAsia="Courier New" w:hAnsi="Courier New"/>
                <w:color w:val="AAAAAA"/>
                <w:sz w:val="16"/>
                <w:szCs w:val="16"/>
              </w:rPr>
              <w:t xml:space="preserve">#0D1A14</w:t>
            </w:r>
          </w:p>
        </w:tc>
        <w:tc>
          <w:tcPr>
            <w:tcW w:type="dxa" w:w="156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b/>
                <w:bCs/>
                <w:color w:val="1A3A2A"/>
                <w:sz w:val="16"/>
                <w:szCs w:val="16"/>
              </w:rPr>
              <w:t xml:space="preserve">Deep Green</w:t>
            </w:r>
          </w:p>
          <w:p>
            <w:pPr>
              <w:jc w:val="center"/>
            </w:pPr>
            <w:r>
              <w:rPr>
                <w:rFonts w:ascii="Courier New" w:cs="Courier New" w:eastAsia="Courier New" w:hAnsi="Courier New"/>
                <w:color w:val="AAAAAA"/>
                <w:sz w:val="16"/>
                <w:szCs w:val="16"/>
              </w:rPr>
              <w:t xml:space="preserve">#1A3A2A</w:t>
            </w:r>
          </w:p>
        </w:tc>
        <w:tc>
          <w:tcPr>
            <w:tcW w:type="dxa" w:w="156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b/>
                <w:bCs/>
                <w:color w:val="1A3A2A"/>
                <w:sz w:val="16"/>
                <w:szCs w:val="16"/>
              </w:rPr>
              <w:t xml:space="preserve">Fairway</w:t>
            </w:r>
          </w:p>
          <w:p>
            <w:pPr>
              <w:jc w:val="center"/>
            </w:pPr>
            <w:r>
              <w:rPr>
                <w:rFonts w:ascii="Courier New" w:cs="Courier New" w:eastAsia="Courier New" w:hAnsi="Courier New"/>
                <w:color w:val="AAAAAA"/>
                <w:sz w:val="16"/>
                <w:szCs w:val="16"/>
              </w:rPr>
              <w:t xml:space="preserve">#2D5A3D</w:t>
            </w:r>
          </w:p>
        </w:tc>
        <w:tc>
          <w:tcPr>
            <w:tcW w:type="dxa" w:w="156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b/>
                <w:bCs/>
                <w:color w:val="1A3A2A"/>
                <w:sz w:val="16"/>
                <w:szCs w:val="16"/>
              </w:rPr>
              <w:t xml:space="preserve">Logo Teal</w:t>
            </w:r>
          </w:p>
          <w:p>
            <w:pPr>
              <w:jc w:val="center"/>
            </w:pPr>
            <w:r>
              <w:rPr>
                <w:rFonts w:ascii="Courier New" w:cs="Courier New" w:eastAsia="Courier New" w:hAnsi="Courier New"/>
                <w:color w:val="AAAAAA"/>
                <w:sz w:val="16"/>
                <w:szCs w:val="16"/>
              </w:rPr>
              <w:t xml:space="preserve">#2A7A5A</w:t>
            </w:r>
          </w:p>
        </w:tc>
        <w:tc>
          <w:tcPr>
            <w:tcW w:type="dxa" w:w="156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b/>
                <w:bCs/>
                <w:color w:val="1A3A2A"/>
                <w:sz w:val="16"/>
                <w:szCs w:val="16"/>
              </w:rPr>
              <w:t xml:space="preserve">Tour Gold</w:t>
            </w:r>
          </w:p>
          <w:p>
            <w:pPr>
              <w:jc w:val="center"/>
            </w:pPr>
            <w:r>
              <w:rPr>
                <w:rFonts w:ascii="Courier New" w:cs="Courier New" w:eastAsia="Courier New" w:hAnsi="Courier New"/>
                <w:color w:val="AAAAAA"/>
                <w:sz w:val="16"/>
                <w:szCs w:val="16"/>
              </w:rPr>
              <w:t xml:space="preserve">#C9A84C</w:t>
            </w:r>
          </w:p>
        </w:tc>
        <w:tc>
          <w:tcPr>
            <w:tcW w:type="dxa" w:w="1560"/>
            <w:tcBorders>
              <w:top w:val="none" w:color="FFFFFF" w:sz="0"/>
              <w:left w:val="none" w:color="FFFFFF" w:sz="0"/>
              <w:bottom w:val="none" w:color="FFFFFF" w:sz="0"/>
              <w:right w:val="none" w:color="FFFFFF" w:sz="0"/>
            </w:tcBorders>
            <w:tcMar>
              <w:top w:type="dxa" w:w="80"/>
              <w:left w:type="dxa" w:w="40"/>
              <w:bottom w:type="dxa" w:w="80"/>
              <w:right w:type="dxa" w:w="40"/>
            </w:tcMar>
          </w:tcPr>
          <w:p>
            <w:pPr>
              <w:jc w:val="center"/>
            </w:pPr>
            <w:r>
              <w:rPr>
                <w:rFonts w:ascii="Arial" w:cs="Arial" w:eastAsia="Arial" w:hAnsi="Arial"/>
                <w:b/>
                <w:bCs/>
                <w:color w:val="1A3A2A"/>
                <w:sz w:val="16"/>
                <w:szCs w:val="16"/>
              </w:rPr>
              <w:t xml:space="preserve">Cream</w:t>
            </w:r>
          </w:p>
          <w:p>
            <w:pPr>
              <w:jc w:val="center"/>
            </w:pPr>
            <w:r>
              <w:rPr>
                <w:rFonts w:ascii="Courier New" w:cs="Courier New" w:eastAsia="Courier New" w:hAnsi="Courier New"/>
                <w:color w:val="AAAAAA"/>
                <w:sz w:val="16"/>
                <w:szCs w:val="16"/>
              </w:rPr>
              <w:t xml:space="preserve">#F5F0E8</w:t>
            </w:r>
          </w:p>
        </w:tc>
      </w:tr>
    </w:tbl>
    <w:p>
      <w:pPr>
        <w:spacing w:before="240" w:after="0"/>
      </w:pPr>
      <w:r>
        <w:t xml:space="preserve"/>
      </w:r>
    </w:p>
    <w:p>
      <w:pPr>
        <w:spacing w:before="240" w:after="80"/>
      </w:pPr>
      <w:r>
        <w:rPr>
          <w:rFonts w:ascii="Arial" w:cs="Arial" w:eastAsia="Arial" w:hAnsi="Arial"/>
          <w:b/>
          <w:bCs/>
          <w:color w:val="8A6E2F"/>
          <w:sz w:val="22"/>
          <w:szCs w:val="22"/>
        </w:rPr>
        <w:t xml:space="preserve">Colour Usage Rules</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Colour</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Primary Use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Course Dark (#0D1A14)</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Primary background for digital interfaces and dark-mode contexts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Deep Green (#1A3A2A)</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Cards, panels, section backgrounds — the dominant surface colour</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Fairway (#2D5A3D)</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Secondary surfaces, hover states, button backgrounds, section banners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Logo Teal (#2A7A5A)</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Icon colour — use sparingly outside of the logo mark itself</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Tour Gold (#C9A84C)</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Accents, borders, highlights, active states, headings on dark backgrounds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Cream (#F5F0E8)</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Primary text on dark backgrounds; light surface backgrounds</w:t>
            </w:r>
          </w:p>
        </w:tc>
      </w:tr>
    </w:tbl>
    <w:p>
      <w:pPr>
        <w:spacing w:before="240" w:after="0"/>
      </w:pPr>
      <w:r>
        <w:t xml:space="preserve"/>
      </w:r>
    </w:p>
    <w:p>
      <w:pPr>
        <w:spacing w:before="240" w:after="80"/>
      </w:pPr>
      <w:r>
        <w:rPr>
          <w:rFonts w:ascii="Arial" w:cs="Arial" w:eastAsia="Arial" w:hAnsi="Arial"/>
          <w:b/>
          <w:bCs/>
          <w:color w:val="8A6E2F"/>
          <w:sz w:val="22"/>
          <w:szCs w:val="22"/>
        </w:rPr>
        <w:t xml:space="preserve">Do Not Use</w:t>
      </w:r>
    </w:p>
    <w:p>
      <w:pPr>
        <w:pStyle w:val="ListParagraph"/>
        <w:numPr>
          <w:ilvl w:val="0"/>
          <w:numId w:val="2"/>
        </w:numPr>
        <w:spacing w:before="40" w:after="40"/>
      </w:pPr>
      <w:r>
        <w:rPr>
          <w:rFonts w:ascii="Arial" w:cs="Arial" w:eastAsia="Arial" w:hAnsi="Arial"/>
          <w:color w:val="111111"/>
          <w:sz w:val="22"/>
          <w:szCs w:val="22"/>
        </w:rPr>
        <w:t xml:space="preserve">Bright saturated colours (neon, electric blue, hot pink) — they conflict with the analytical, premium tone</w:t>
      </w:r>
    </w:p>
    <w:p>
      <w:pPr>
        <w:pStyle w:val="ListParagraph"/>
        <w:numPr>
          <w:ilvl w:val="0"/>
          <w:numId w:val="2"/>
        </w:numPr>
        <w:spacing w:before="40" w:after="40"/>
      </w:pPr>
      <w:r>
        <w:rPr>
          <w:rFonts w:ascii="Arial" w:cs="Arial" w:eastAsia="Arial" w:hAnsi="Arial"/>
          <w:color w:val="111111"/>
          <w:sz w:val="22"/>
          <w:szCs w:val="22"/>
        </w:rPr>
        <w:t xml:space="preserve">Pure black (#000000) as a text colour — use Course Dark or Deep Green instead</w:t>
      </w:r>
    </w:p>
    <w:p>
      <w:pPr>
        <w:pStyle w:val="ListParagraph"/>
        <w:numPr>
          <w:ilvl w:val="0"/>
          <w:numId w:val="2"/>
        </w:numPr>
        <w:spacing w:before="40" w:after="40"/>
      </w:pPr>
      <w:r>
        <w:rPr>
          <w:rFonts w:ascii="Arial" w:cs="Arial" w:eastAsia="Arial" w:hAnsi="Arial"/>
          <w:color w:val="111111"/>
          <w:sz w:val="22"/>
          <w:szCs w:val="22"/>
        </w:rPr>
        <w:t xml:space="preserve">Pure white (#FFFFFF) as a background — use Cream for warmth</w:t>
      </w:r>
    </w:p>
    <w:p>
      <w:pPr>
        <w:pStyle w:val="ListParagraph"/>
        <w:numPr>
          <w:ilvl w:val="0"/>
          <w:numId w:val="2"/>
        </w:numPr>
        <w:spacing w:before="40" w:after="40"/>
      </w:pPr>
      <w:r>
        <w:rPr>
          <w:rFonts w:ascii="Arial" w:cs="Arial" w:eastAsia="Arial" w:hAnsi="Arial"/>
          <w:color w:val="111111"/>
          <w:sz w:val="22"/>
          <w:szCs w:val="22"/>
        </w:rPr>
        <w:t xml:space="preserve">More than three colours from the palette in a single layout element</w:t>
      </w:r>
    </w:p>
    <w:p>
      <w:pPr>
        <w:pBdr>
          <w:bottom w:val="single" w:color="3D7A52" w:sz="4" w:space="1"/>
        </w:pBdr>
        <w:spacing w:before="240"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A3D" w:val="clear"/>
            <w:tcMar>
              <w:top w:type="dxa" w:w="200"/>
              <w:left w:type="dxa" w:w="360"/>
              <w:bottom w:type="dxa" w:w="200"/>
              <w:right w:type="dxa" w:w="360"/>
            </w:tcMar>
          </w:tcPr>
          <w:p>
            <w:r>
              <w:rPr>
                <w:rFonts w:ascii="Arial" w:cs="Arial" w:eastAsia="Arial" w:hAnsi="Arial"/>
                <w:b/>
                <w:bCs/>
                <w:color w:val="F5F0E8"/>
                <w:spacing w:val="120"/>
                <w:sz w:val="26"/>
                <w:szCs w:val="26"/>
              </w:rPr>
              <w:t xml:space="preserve">04 — TYPOGRAPHY</w:t>
            </w:r>
          </w:p>
        </w:tc>
      </w:tr>
    </w:tbl>
    <w:p>
      <w:pPr>
        <w:spacing w:before="200" w:after="0"/>
      </w:pPr>
      <w:r>
        <w:t xml:space="preserve"/>
      </w:r>
    </w:p>
    <w:p>
      <w:pPr>
        <w:spacing w:before="360" w:after="120"/>
      </w:pPr>
      <w:r>
        <w:rPr>
          <w:rFonts w:ascii="Arial" w:cs="Arial" w:eastAsia="Arial" w:hAnsi="Arial"/>
          <w:b/>
          <w:bCs/>
          <w:color w:val="1A3A2A"/>
          <w:sz w:val="28"/>
          <w:szCs w:val="28"/>
        </w:rPr>
        <w:t xml:space="preserve">Type System</w:t>
      </w:r>
    </w:p>
    <w:p>
      <w:pPr>
        <w:spacing w:before="60" w:after="100"/>
      </w:pPr>
      <w:r>
        <w:rPr>
          <w:rFonts w:ascii="Arial" w:cs="Arial" w:eastAsia="Arial" w:hAnsi="Arial"/>
          <w:b w:val="false"/>
          <w:bCs w:val="false"/>
          <w:color w:val="111111"/>
          <w:sz w:val="22"/>
          <w:szCs w:val="22"/>
        </w:rPr>
        <w:t xml:space="preserve">LinksData Lab uses a two-family type system that balances editorial gravitas with technical clarity. Georgia handles display and editorial moments; DM Sans handles all functional, data-adjacent, and interface typography.</w:t>
      </w:r>
    </w:p>
    <w:p>
      <w:pPr>
        <w:spacing w:before="200" w:after="0"/>
      </w:pPr>
      <w:r>
        <w:t xml:space="preserve"/>
      </w:r>
    </w:p>
    <w:p>
      <w:pPr>
        <w:spacing w:before="240" w:after="80"/>
      </w:pPr>
      <w:r>
        <w:rPr>
          <w:rFonts w:ascii="Arial" w:cs="Arial" w:eastAsia="Arial" w:hAnsi="Arial"/>
          <w:b/>
          <w:bCs/>
          <w:color w:val="8A6E2F"/>
          <w:sz w:val="22"/>
          <w:szCs w:val="22"/>
        </w:rPr>
        <w:t xml:space="preserve">Display: Georgia (Serif)</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Property</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Specification</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Usage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Hero headlines, section titles, editorial callouts, the brand wordmark in certain contexts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Weights</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Regular 400, Bold 700, Italic 400i</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Size Range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24pt – 72pt for headlines; 16pt – 22pt for display subheadings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Colour</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Cream on dark backgrounds; Deep Green or Fairway on light backgrounds</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Style Notes</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Never set in all-caps; use title case for headlines; italic for pull quotes</w:t>
            </w:r>
          </w:p>
        </w:tc>
      </w:tr>
    </w:tbl>
    <w:p>
      <w:pPr>
        <w:spacing w:before="240" w:after="0"/>
      </w:pPr>
      <w:r>
        <w:t xml:space="preserve"/>
      </w:r>
    </w:p>
    <w:p>
      <w:pPr>
        <w:spacing w:before="240" w:after="80"/>
      </w:pPr>
      <w:r>
        <w:rPr>
          <w:rFonts w:ascii="Arial" w:cs="Arial" w:eastAsia="Arial" w:hAnsi="Arial"/>
          <w:b/>
          <w:bCs/>
          <w:color w:val="8A6E2F"/>
          <w:sz w:val="22"/>
          <w:szCs w:val="22"/>
        </w:rPr>
        <w:t xml:space="preserve">Interface: DM Sans (Sans-Serif)</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Property</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Specification</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Usage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Body copy, UI labels, data tables, navigation, buttons, captions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Weights</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Light 300, Regular 400, Medium 500</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Size Range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11pt – 16pt; 11pt–12pt for labels and metadata</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Colour</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Cream on dark; Deep Green on light; muted tones for secondary info</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Style Notes</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Labels and metadata in all-caps with 0.15em letter-spacing; body copy in sentence case</w:t>
            </w:r>
          </w:p>
        </w:tc>
      </w:tr>
    </w:tbl>
    <w:p>
      <w:pPr>
        <w:spacing w:before="240" w:after="0"/>
      </w:pPr>
      <w:r>
        <w:t xml:space="preserve"/>
      </w:r>
    </w:p>
    <w:p>
      <w:pPr>
        <w:spacing w:before="240" w:after="80"/>
      </w:pPr>
      <w:r>
        <w:rPr>
          <w:rFonts w:ascii="Arial" w:cs="Arial" w:eastAsia="Arial" w:hAnsi="Arial"/>
          <w:b/>
          <w:bCs/>
          <w:color w:val="8A6E2F"/>
          <w:sz w:val="22"/>
          <w:szCs w:val="22"/>
        </w:rPr>
        <w:t xml:space="preserve">Monospace: DM Mono</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Property</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Specification</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Usage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Data values, stat numbers, timestamps, API output, terminal log lines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Weights</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Light 300, Regular 400, Medium 500</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Size Range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10pt – 14pt</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Style Notes</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Use for all numeric data in stat cards; gold colour (#C9A84C) for highlighted values</w:t>
            </w:r>
          </w:p>
        </w:tc>
      </w:tr>
    </w:tbl>
    <w:p>
      <w:pPr>
        <w:spacing w:before="240" w:after="0"/>
      </w:pPr>
      <w:r>
        <w:t xml:space="preserve"/>
      </w:r>
    </w:p>
    <w:p>
      <w:pPr>
        <w:spacing w:before="360" w:after="120"/>
      </w:pPr>
      <w:r>
        <w:rPr>
          <w:rFonts w:ascii="Arial" w:cs="Arial" w:eastAsia="Arial" w:hAnsi="Arial"/>
          <w:b/>
          <w:bCs/>
          <w:color w:val="1A3A2A"/>
          <w:sz w:val="28"/>
          <w:szCs w:val="28"/>
        </w:rPr>
        <w:t xml:space="preserve">Type Hierarchy Example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Level</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Style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Page Title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Georgia Bold, 48pt, Cream</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Section Header</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Georgia Regular, 28pt, Tour Gold</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Subsection Label</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DM Mono Medium, 11pt, Tour Gold, ALL CAPS, tracked</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Body Copy</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DM Sans Regular, 13pt, Cream at 85% opacity</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Data Value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DM Mono Bold, 24pt, Cream or Tour Gold</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Caption / Meta</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DM Sans Light, 11pt, Cream at 50% opacity</w:t>
            </w:r>
          </w:p>
        </w:tc>
      </w:tr>
    </w:tbl>
    <w:p>
      <w:pPr>
        <w:pBdr>
          <w:bottom w:val="single" w:color="3D7A52" w:sz="4" w:space="1"/>
        </w:pBdr>
        <w:spacing w:before="240"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A3D" w:val="clear"/>
            <w:tcMar>
              <w:top w:type="dxa" w:w="200"/>
              <w:left w:type="dxa" w:w="360"/>
              <w:bottom w:type="dxa" w:w="200"/>
              <w:right w:type="dxa" w:w="360"/>
            </w:tcMar>
          </w:tcPr>
          <w:p>
            <w:r>
              <w:rPr>
                <w:rFonts w:ascii="Arial" w:cs="Arial" w:eastAsia="Arial" w:hAnsi="Arial"/>
                <w:b/>
                <w:bCs/>
                <w:color w:val="F5F0E8"/>
                <w:spacing w:val="120"/>
                <w:sz w:val="26"/>
                <w:szCs w:val="26"/>
              </w:rPr>
              <w:t xml:space="preserve">05 — ICONOGRAPHY &amp; ILLUSTRATION</w:t>
            </w:r>
          </w:p>
        </w:tc>
      </w:tr>
    </w:tbl>
    <w:p>
      <w:pPr>
        <w:spacing w:before="200" w:after="0"/>
      </w:pPr>
      <w:r>
        <w:t xml:space="preserve"/>
      </w:r>
    </w:p>
    <w:p>
      <w:pPr>
        <w:spacing w:before="360" w:after="120"/>
      </w:pPr>
      <w:r>
        <w:rPr>
          <w:rFonts w:ascii="Arial" w:cs="Arial" w:eastAsia="Arial" w:hAnsi="Arial"/>
          <w:b/>
          <w:bCs/>
          <w:color w:val="1A3A2A"/>
          <w:sz w:val="28"/>
          <w:szCs w:val="28"/>
        </w:rPr>
        <w:t xml:space="preserve">Icon Style</w:t>
      </w:r>
    </w:p>
    <w:p>
      <w:pPr>
        <w:spacing w:before="60" w:after="100"/>
      </w:pPr>
      <w:r>
        <w:rPr>
          <w:rFonts w:ascii="Arial" w:cs="Arial" w:eastAsia="Arial" w:hAnsi="Arial"/>
          <w:b w:val="false"/>
          <w:bCs w:val="false"/>
          <w:color w:val="111111"/>
          <w:sz w:val="22"/>
          <w:szCs w:val="22"/>
        </w:rPr>
        <w:t xml:space="preserve">Icons used in LinksData Lab products and communications should follow a consistent geometric, line-based aesthetic — reflecting both the analytical nature of the brand and the linear precision of the logo mark.</w:t>
      </w:r>
    </w:p>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Attribute</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Guideline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Style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Thin to medium line weight (1.5px – 2px at standard scale); geometric, not organic</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Corner Radius</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Subtle rounding — 2px radius on corners for a modern but refined feel</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Colour</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Icons default to Cream or Tour Gold on dark backgrounds; Deep Green on light backgrounds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Size</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Standard: 24px; Small: 16px; Large: 32px — always export at 2x for retina</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Fill Usage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Outlines preferred; filled variants used only for active/selected states</w:t>
            </w:r>
          </w:p>
        </w:tc>
      </w:tr>
    </w:tbl>
    <w:p>
      <w:pPr>
        <w:spacing w:before="200" w:after="0"/>
      </w:pPr>
      <w:r>
        <w:t xml:space="preserve"/>
      </w:r>
    </w:p>
    <w:p>
      <w:pPr>
        <w:spacing w:before="360" w:after="120"/>
      </w:pPr>
      <w:r>
        <w:rPr>
          <w:rFonts w:ascii="Arial" w:cs="Arial" w:eastAsia="Arial" w:hAnsi="Arial"/>
          <w:b/>
          <w:bCs/>
          <w:color w:val="1A3A2A"/>
          <w:sz w:val="28"/>
          <w:szCs w:val="28"/>
        </w:rPr>
        <w:t xml:space="preserve">Golf Visual Language</w:t>
      </w:r>
    </w:p>
    <w:p>
      <w:pPr>
        <w:spacing w:before="60" w:after="100"/>
      </w:pPr>
      <w:r>
        <w:rPr>
          <w:rFonts w:ascii="Arial" w:cs="Arial" w:eastAsia="Arial" w:hAnsi="Arial"/>
          <w:b w:val="false"/>
          <w:bCs w:val="false"/>
          <w:color w:val="111111"/>
          <w:sz w:val="22"/>
          <w:szCs w:val="22"/>
        </w:rPr>
        <w:t xml:space="preserve">Visual elements related to the game of golf — course topography, flags, course lines, radar chart shapes — are part of the brand's core illustration vocabulary. These should feel technical and precise, not cartoonish. Think architectural blueprints, not golf clip art.</w:t>
      </w:r>
    </w:p>
    <w:p>
      <w:pPr>
        <w:spacing w:before="80" w:after="0"/>
      </w:pPr>
      <w:r>
        <w:t xml:space="preserve"/>
      </w:r>
    </w:p>
    <w:p>
      <w:pPr>
        <w:pStyle w:val="ListParagraph"/>
        <w:numPr>
          <w:ilvl w:val="0"/>
          <w:numId w:val="2"/>
        </w:numPr>
        <w:spacing w:before="40" w:after="40"/>
      </w:pPr>
      <w:r>
        <w:rPr>
          <w:rFonts w:ascii="Arial" w:cs="Arial" w:eastAsia="Arial" w:hAnsi="Arial"/>
          <w:color w:val="111111"/>
          <w:sz w:val="22"/>
          <w:szCs w:val="22"/>
        </w:rPr>
        <w:t xml:space="preserve">Radar/pentagon shapes echo the logo and strokes-gained structure</w:t>
      </w:r>
    </w:p>
    <w:p>
      <w:pPr>
        <w:pStyle w:val="ListParagraph"/>
        <w:numPr>
          <w:ilvl w:val="0"/>
          <w:numId w:val="2"/>
        </w:numPr>
        <w:spacing w:before="40" w:after="40"/>
      </w:pPr>
      <w:r>
        <w:rPr>
          <w:rFonts w:ascii="Arial" w:cs="Arial" w:eastAsia="Arial" w:hAnsi="Arial"/>
          <w:color w:val="111111"/>
          <w:sz w:val="22"/>
          <w:szCs w:val="22"/>
        </w:rPr>
        <w:t xml:space="preserve">Course line work (fairways, greens) should use the Deep Green / Fairway palette</w:t>
      </w:r>
    </w:p>
    <w:p>
      <w:pPr>
        <w:pStyle w:val="ListParagraph"/>
        <w:numPr>
          <w:ilvl w:val="0"/>
          <w:numId w:val="2"/>
        </w:numPr>
        <w:spacing w:before="40" w:after="40"/>
      </w:pPr>
      <w:r>
        <w:rPr>
          <w:rFonts w:ascii="Arial" w:cs="Arial" w:eastAsia="Arial" w:hAnsi="Arial"/>
          <w:color w:val="111111"/>
          <w:sz w:val="22"/>
          <w:szCs w:val="22"/>
        </w:rPr>
        <w:t xml:space="preserve">Photography, when used, should be real-world golf photography — natural light, course environments, player focus moments</w:t>
      </w:r>
    </w:p>
    <w:p>
      <w:pPr>
        <w:pStyle w:val="ListParagraph"/>
        <w:numPr>
          <w:ilvl w:val="0"/>
          <w:numId w:val="2"/>
        </w:numPr>
        <w:spacing w:before="40" w:after="40"/>
      </w:pPr>
      <w:r>
        <w:rPr>
          <w:rFonts w:ascii="Arial" w:cs="Arial" w:eastAsia="Arial" w:hAnsi="Arial"/>
          <w:color w:val="111111"/>
          <w:sz w:val="22"/>
          <w:szCs w:val="22"/>
        </w:rPr>
        <w:t xml:space="preserve">Data visualisations are themselves a brand asset — treat chart aesthetics with the same care as editorial design</w:t>
      </w:r>
    </w:p>
    <w:p>
      <w:pPr>
        <w:pBdr>
          <w:bottom w:val="single" w:color="3D7A52" w:sz="4" w:space="1"/>
        </w:pBdr>
        <w:spacing w:before="240"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A3D" w:val="clear"/>
            <w:tcMar>
              <w:top w:type="dxa" w:w="200"/>
              <w:left w:type="dxa" w:w="360"/>
              <w:bottom w:type="dxa" w:w="200"/>
              <w:right w:type="dxa" w:w="360"/>
            </w:tcMar>
          </w:tcPr>
          <w:p>
            <w:r>
              <w:rPr>
                <w:rFonts w:ascii="Arial" w:cs="Arial" w:eastAsia="Arial" w:hAnsi="Arial"/>
                <w:b/>
                <w:bCs/>
                <w:color w:val="F5F0E8"/>
                <w:spacing w:val="120"/>
                <w:sz w:val="26"/>
                <w:szCs w:val="26"/>
              </w:rPr>
              <w:t xml:space="preserve">06 — DATA VISUALISATION</w:t>
            </w:r>
          </w:p>
        </w:tc>
      </w:tr>
    </w:tbl>
    <w:p>
      <w:pPr>
        <w:spacing w:before="200" w:after="0"/>
      </w:pPr>
      <w:r>
        <w:t xml:space="preserve"/>
      </w:r>
    </w:p>
    <w:p>
      <w:pPr>
        <w:spacing w:before="360" w:after="120"/>
      </w:pPr>
      <w:r>
        <w:rPr>
          <w:rFonts w:ascii="Arial" w:cs="Arial" w:eastAsia="Arial" w:hAnsi="Arial"/>
          <w:b/>
          <w:bCs/>
          <w:color w:val="1A3A2A"/>
          <w:sz w:val="28"/>
          <w:szCs w:val="28"/>
        </w:rPr>
        <w:t xml:space="preserve">Chart &amp; Graph Standards</w:t>
      </w:r>
    </w:p>
    <w:p>
      <w:pPr>
        <w:spacing w:before="60" w:after="100"/>
      </w:pPr>
      <w:r>
        <w:rPr>
          <w:rFonts w:ascii="Arial" w:cs="Arial" w:eastAsia="Arial" w:hAnsi="Arial"/>
          <w:b w:val="false"/>
          <w:bCs w:val="false"/>
          <w:color w:val="111111"/>
          <w:sz w:val="22"/>
          <w:szCs w:val="22"/>
        </w:rPr>
        <w:t xml:space="preserve">Data visualisation is at the heart of the LinksData Lab product. Charts must be legible, honest, and on-brand. Never prioritise decoration over clarity.</w:t>
      </w:r>
    </w:p>
    <w:p>
      <w:pPr>
        <w:spacing w:before="120" w:after="0"/>
      </w:pPr>
      <w:r>
        <w:t xml:space="preserve"/>
      </w:r>
    </w:p>
    <w:p>
      <w:pPr>
        <w:spacing w:before="240" w:after="80"/>
      </w:pPr>
      <w:r>
        <w:rPr>
          <w:rFonts w:ascii="Arial" w:cs="Arial" w:eastAsia="Arial" w:hAnsi="Arial"/>
          <w:b/>
          <w:bCs/>
          <w:color w:val="8A6E2F"/>
          <w:sz w:val="22"/>
          <w:szCs w:val="22"/>
        </w:rPr>
        <w:t xml:space="preserve">Colour Assignments</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Element</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Colour</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Player Data Series</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Logo Teal (#2A7A5A) with 15% opacity fill; solid border</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Tour Average Benchmark</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Red (#EF4444) at reduced weight — always clearly labelled</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Positive Values / Above Average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Logo Teal or light green (#4ADE80)</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Negative Values / Below Average</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Muted red (#F87171)</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Neutral / Secondary Data</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Cream at 40% opacity</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Grid Lines</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White at 7–8% opacity — extremely subtle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Backgrounds</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Course Dark (#0D1A14) — always dark for digital chart contexts</w:t>
            </w:r>
          </w:p>
        </w:tc>
      </w:tr>
    </w:tbl>
    <w:p>
      <w:pPr>
        <w:spacing w:before="200" w:after="0"/>
      </w:pPr>
      <w:r>
        <w:t xml:space="preserve"/>
      </w:r>
    </w:p>
    <w:p>
      <w:pPr>
        <w:spacing w:before="240" w:after="80"/>
      </w:pPr>
      <w:r>
        <w:rPr>
          <w:rFonts w:ascii="Arial" w:cs="Arial" w:eastAsia="Arial" w:hAnsi="Arial"/>
          <w:b/>
          <w:bCs/>
          <w:color w:val="8A6E2F"/>
          <w:sz w:val="22"/>
          <w:szCs w:val="22"/>
        </w:rPr>
        <w:t xml:space="preserve">Chart Types &amp; Usage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Chart Type</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Usage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Radar Chart</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Strokes-gained profile — pentagon form. Five axes: OTT, App, ARG, Putt, Overall</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Horizontal Bar</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Distance / accuracy comparisons — always include tour average as reference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Trend Line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Multi-season SG trajectory — three data points minimum</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Stat Card</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Primary card format — player photo, rank, five SG bars, key stats grid</w:t>
            </w:r>
          </w:p>
        </w:tc>
      </w:tr>
    </w:tbl>
    <w:p>
      <w:pPr>
        <w:spacing w:before="200" w:after="0"/>
      </w:pPr>
      <w:r>
        <w:t xml:space="preserve"/>
      </w:r>
    </w:p>
    <w:p>
      <w:pPr>
        <w:spacing w:before="240" w:after="80"/>
      </w:pPr>
      <w:r>
        <w:rPr>
          <w:rFonts w:ascii="Arial" w:cs="Arial" w:eastAsia="Arial" w:hAnsi="Arial"/>
          <w:b/>
          <w:bCs/>
          <w:color w:val="8A6E2F"/>
          <w:sz w:val="22"/>
          <w:szCs w:val="22"/>
        </w:rPr>
        <w:t xml:space="preserve">Chart Typography</w:t>
      </w:r>
    </w:p>
    <w:p>
      <w:pPr>
        <w:pStyle w:val="ListParagraph"/>
        <w:numPr>
          <w:ilvl w:val="0"/>
          <w:numId w:val="2"/>
        </w:numPr>
        <w:spacing w:before="40" w:after="40"/>
      </w:pPr>
      <w:r>
        <w:rPr>
          <w:rFonts w:ascii="Arial" w:cs="Arial" w:eastAsia="Arial" w:hAnsi="Arial"/>
          <w:color w:val="111111"/>
          <w:sz w:val="22"/>
          <w:szCs w:val="22"/>
        </w:rPr>
        <w:t xml:space="preserve">Axis labels: DM Mono, 11–13pt, Cream at 70% opacity</w:t>
      </w:r>
    </w:p>
    <w:p>
      <w:pPr>
        <w:pStyle w:val="ListParagraph"/>
        <w:numPr>
          <w:ilvl w:val="0"/>
          <w:numId w:val="2"/>
        </w:numPr>
        <w:spacing w:before="40" w:after="40"/>
      </w:pPr>
      <w:r>
        <w:rPr>
          <w:rFonts w:ascii="Arial" w:cs="Arial" w:eastAsia="Arial" w:hAnsi="Arial"/>
          <w:color w:val="111111"/>
          <w:sz w:val="22"/>
          <w:szCs w:val="22"/>
        </w:rPr>
        <w:t xml:space="preserve">Data labels: DM Mono Bold, 13–16pt, white — always show value on bar charts</w:t>
      </w:r>
    </w:p>
    <w:p>
      <w:pPr>
        <w:pStyle w:val="ListParagraph"/>
        <w:numPr>
          <w:ilvl w:val="0"/>
          <w:numId w:val="2"/>
        </w:numPr>
        <w:spacing w:before="40" w:after="40"/>
      </w:pPr>
      <w:r>
        <w:rPr>
          <w:rFonts w:ascii="Arial" w:cs="Arial" w:eastAsia="Arial" w:hAnsi="Arial"/>
          <w:color w:val="111111"/>
          <w:sz w:val="22"/>
          <w:szCs w:val="22"/>
        </w:rPr>
        <w:t xml:space="preserve">Legend: DM Sans, 12pt, Cream at 80% opacity, positioned at bottom</w:t>
      </w:r>
    </w:p>
    <w:p>
      <w:pPr>
        <w:pStyle w:val="ListParagraph"/>
        <w:numPr>
          <w:ilvl w:val="0"/>
          <w:numId w:val="2"/>
        </w:numPr>
        <w:spacing w:before="40" w:after="40"/>
      </w:pPr>
      <w:r>
        <w:rPr>
          <w:rFonts w:ascii="Arial" w:cs="Arial" w:eastAsia="Arial" w:hAnsi="Arial"/>
          <w:color w:val="111111"/>
          <w:sz w:val="22"/>
          <w:szCs w:val="22"/>
        </w:rPr>
        <w:t xml:space="preserve">Title: DM Sans Medium, 14pt, Cream — concise and descriptive</w:t>
      </w:r>
    </w:p>
    <w:p>
      <w:pPr>
        <w:pBdr>
          <w:bottom w:val="single" w:color="3D7A52" w:sz="4" w:space="1"/>
        </w:pBdr>
        <w:spacing w:before="240"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A3D" w:val="clear"/>
            <w:tcMar>
              <w:top w:type="dxa" w:w="200"/>
              <w:left w:type="dxa" w:w="360"/>
              <w:bottom w:type="dxa" w:w="200"/>
              <w:right w:type="dxa" w:w="360"/>
            </w:tcMar>
          </w:tcPr>
          <w:p>
            <w:r>
              <w:rPr>
                <w:rFonts w:ascii="Arial" w:cs="Arial" w:eastAsia="Arial" w:hAnsi="Arial"/>
                <w:b/>
                <w:bCs/>
                <w:color w:val="F5F0E8"/>
                <w:spacing w:val="120"/>
                <w:sz w:val="26"/>
                <w:szCs w:val="26"/>
              </w:rPr>
              <w:t xml:space="preserve">07 — BRAND VOICE &amp; TONE</w:t>
            </w:r>
          </w:p>
        </w:tc>
      </w:tr>
    </w:tbl>
    <w:p>
      <w:pPr>
        <w:spacing w:before="200" w:after="0"/>
      </w:pPr>
      <w:r>
        <w:t xml:space="preserve"/>
      </w:r>
    </w:p>
    <w:p>
      <w:pPr>
        <w:spacing w:before="360" w:after="120"/>
      </w:pPr>
      <w:r>
        <w:rPr>
          <w:rFonts w:ascii="Arial" w:cs="Arial" w:eastAsia="Arial" w:hAnsi="Arial"/>
          <w:b/>
          <w:bCs/>
          <w:color w:val="1A3A2A"/>
          <w:sz w:val="28"/>
          <w:szCs w:val="28"/>
        </w:rPr>
        <w:t xml:space="preserve">Writing Principles</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Principle</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What This Means</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Confident, Not Arrogant</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State findings clearly. Avoid hedging. Never condescend.</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Precise, Not Dense</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Use technical terms correctly but explain them in context. Readers are smart.</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Enthusiastic About Golf</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The data serves the game. Let curiosity and love for golf come through.</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Clean, Not Cold</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Professional but not corporate. No jargon for its own sake.</w:t>
            </w:r>
          </w:p>
        </w:tc>
      </w:tr>
    </w:tbl>
    <w:p>
      <w:pPr>
        <w:spacing w:before="200" w:after="0"/>
      </w:pPr>
      <w:r>
        <w:t xml:space="preserve"/>
      </w:r>
    </w:p>
    <w:p>
      <w:pPr>
        <w:spacing w:before="360" w:after="120"/>
      </w:pPr>
      <w:r>
        <w:rPr>
          <w:rFonts w:ascii="Arial" w:cs="Arial" w:eastAsia="Arial" w:hAnsi="Arial"/>
          <w:b/>
          <w:bCs/>
          <w:color w:val="1A3A2A"/>
          <w:sz w:val="28"/>
          <w:szCs w:val="28"/>
        </w:rPr>
        <w:t xml:space="preserve">Terminology Standards</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Term</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Standard Usage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Strokes Gained</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Always write as "Strokes Gained" (title case). Abbreviate as "SG" after first use.</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Off the Tee</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SG: Off the Tee — not "driving" or "OTT" in editorial copy</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Approach</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SG: Approach — not "approach the green" or "iron play"</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Around the Green</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SG: Around the Green — not "short game" as a substitute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Putting</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SG: Putting — not "on the greens" in stat contexts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LinksData Lab</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Always two words, capital L, capital D, capital L — never "Linksdata" or "Links Data"</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Player Names</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Full name on first reference; surname only on subsequent references in the same piece</w:t>
            </w:r>
          </w:p>
        </w:tc>
      </w:tr>
    </w:tbl>
    <w:p>
      <w:pPr>
        <w:spacing w:before="200" w:after="0"/>
      </w:pPr>
      <w:r>
        <w:t xml:space="preserve"/>
      </w:r>
    </w:p>
    <w:p>
      <w:pPr>
        <w:spacing w:before="360" w:after="120"/>
      </w:pPr>
      <w:r>
        <w:rPr>
          <w:rFonts w:ascii="Arial" w:cs="Arial" w:eastAsia="Arial" w:hAnsi="Arial"/>
          <w:b/>
          <w:bCs/>
          <w:color w:val="1A3A2A"/>
          <w:sz w:val="28"/>
          <w:szCs w:val="28"/>
        </w:rPr>
        <w:t xml:space="preserve">Tone by Context</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Context</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Tone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Social Media</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Conversational, enthusiastic, data-led — short sentences, one strong insight per post</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Stat Cards</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Label-driven, no editorialising — let the numbers speak</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Dashboard UI</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Functional, clear, minimal — not marketing copy, just efficient labels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Editorial / Analysis</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Long-form: structured argument, referenced data, authoritative but accessible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Error Messages</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Honest and helpful — explain what happened and what to do next, no blame</w:t>
            </w:r>
          </w:p>
        </w:tc>
      </w:tr>
    </w:tbl>
    <w:p>
      <w:pPr>
        <w:pBdr>
          <w:bottom w:val="single" w:color="3D7A52" w:sz="4" w:space="1"/>
        </w:pBdr>
        <w:spacing w:before="240"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A3D" w:val="clear"/>
            <w:tcMar>
              <w:top w:type="dxa" w:w="200"/>
              <w:left w:type="dxa" w:w="360"/>
              <w:bottom w:type="dxa" w:w="200"/>
              <w:right w:type="dxa" w:w="360"/>
            </w:tcMar>
          </w:tcPr>
          <w:p>
            <w:r>
              <w:rPr>
                <w:rFonts w:ascii="Arial" w:cs="Arial" w:eastAsia="Arial" w:hAnsi="Arial"/>
                <w:b/>
                <w:bCs/>
                <w:color w:val="F5F0E8"/>
                <w:spacing w:val="120"/>
                <w:sz w:val="26"/>
                <w:szCs w:val="26"/>
              </w:rPr>
              <w:t xml:space="preserve">08 — DIGITAL &amp; UI STANDARDS</w:t>
            </w:r>
          </w:p>
        </w:tc>
      </w:tr>
    </w:tbl>
    <w:p>
      <w:pPr>
        <w:spacing w:before="200" w:after="0"/>
      </w:pPr>
      <w:r>
        <w:t xml:space="preserve"/>
      </w:r>
    </w:p>
    <w:p>
      <w:pPr>
        <w:spacing w:before="360" w:after="120"/>
      </w:pPr>
      <w:r>
        <w:rPr>
          <w:rFonts w:ascii="Arial" w:cs="Arial" w:eastAsia="Arial" w:hAnsi="Arial"/>
          <w:b/>
          <w:bCs/>
          <w:color w:val="1A3A2A"/>
          <w:sz w:val="28"/>
          <w:szCs w:val="28"/>
        </w:rPr>
        <w:t xml:space="preserve">Interface Design Principles</w:t>
      </w:r>
    </w:p>
    <w:p>
      <w:pPr>
        <w:spacing w:before="80" w:after="0"/>
      </w:pPr>
      <w:r>
        <w:t xml:space="preserve"/>
      </w:r>
    </w:p>
    <w:p>
      <w:pPr>
        <w:pStyle w:val="ListParagraph"/>
        <w:numPr>
          <w:ilvl w:val="0"/>
          <w:numId w:val="2"/>
        </w:numPr>
        <w:spacing w:before="40" w:after="40"/>
      </w:pPr>
      <w:r>
        <w:rPr>
          <w:rFonts w:ascii="Arial" w:cs="Arial" w:eastAsia="Arial" w:hAnsi="Arial"/>
          <w:color w:val="111111"/>
          <w:sz w:val="22"/>
          <w:szCs w:val="22"/>
        </w:rPr>
        <w:t xml:space="preserve">Dark mode is the default and primary context for all LinksData Lab digital products</w:t>
      </w:r>
    </w:p>
    <w:p>
      <w:pPr>
        <w:pStyle w:val="ListParagraph"/>
        <w:numPr>
          <w:ilvl w:val="0"/>
          <w:numId w:val="2"/>
        </w:numPr>
        <w:spacing w:before="40" w:after="40"/>
      </w:pPr>
      <w:r>
        <w:rPr>
          <w:rFonts w:ascii="Arial" w:cs="Arial" w:eastAsia="Arial" w:hAnsi="Arial"/>
          <w:color w:val="111111"/>
          <w:sz w:val="22"/>
          <w:szCs w:val="22"/>
        </w:rPr>
        <w:t xml:space="preserve">Grid backgrounds (subtle gold grid lines at 3–4% opacity) provide depth without distraction</w:t>
      </w:r>
    </w:p>
    <w:p>
      <w:pPr>
        <w:pStyle w:val="ListParagraph"/>
        <w:numPr>
          <w:ilvl w:val="0"/>
          <w:numId w:val="2"/>
        </w:numPr>
        <w:spacing w:before="40" w:after="40"/>
      </w:pPr>
      <w:r>
        <w:rPr>
          <w:rFonts w:ascii="Arial" w:cs="Arial" w:eastAsia="Arial" w:hAnsi="Arial"/>
          <w:color w:val="111111"/>
          <w:sz w:val="22"/>
          <w:szCs w:val="22"/>
        </w:rPr>
        <w:t xml:space="preserve">Cards and panels use Deep Green (#1A3A2A) at 35–40% opacity with gold border accents</w:t>
      </w:r>
    </w:p>
    <w:p>
      <w:pPr>
        <w:pStyle w:val="ListParagraph"/>
        <w:numPr>
          <w:ilvl w:val="0"/>
          <w:numId w:val="2"/>
        </w:numPr>
        <w:spacing w:before="40" w:after="40"/>
      </w:pPr>
      <w:r>
        <w:rPr>
          <w:rFonts w:ascii="Arial" w:cs="Arial" w:eastAsia="Arial" w:hAnsi="Arial"/>
          <w:color w:val="111111"/>
          <w:sz w:val="22"/>
          <w:szCs w:val="22"/>
        </w:rPr>
        <w:t xml:space="preserve">Border radius on interactive elements: 8px (inputs, buttons, tags); 12–16px (cards, modals)</w:t>
      </w:r>
    </w:p>
    <w:p>
      <w:pPr>
        <w:pStyle w:val="ListParagraph"/>
        <w:numPr>
          <w:ilvl w:val="0"/>
          <w:numId w:val="2"/>
        </w:numPr>
        <w:spacing w:before="40" w:after="40"/>
      </w:pPr>
      <w:r>
        <w:rPr>
          <w:rFonts w:ascii="Arial" w:cs="Arial" w:eastAsia="Arial" w:hAnsi="Arial"/>
          <w:color w:val="111111"/>
          <w:sz w:val="22"/>
          <w:szCs w:val="22"/>
        </w:rPr>
        <w:t xml:space="preserve">Backdrop blur (12px) is used on overlapping panel elements to create layering depth</w:t>
      </w:r>
    </w:p>
    <w:p>
      <w:pPr>
        <w:spacing w:before="200" w:after="0"/>
      </w:pPr>
      <w:r>
        <w:t xml:space="preserve"/>
      </w:r>
    </w:p>
    <w:p>
      <w:pPr>
        <w:spacing w:before="360" w:after="120"/>
      </w:pPr>
      <w:r>
        <w:rPr>
          <w:rFonts w:ascii="Arial" w:cs="Arial" w:eastAsia="Arial" w:hAnsi="Arial"/>
          <w:b/>
          <w:bCs/>
          <w:color w:val="1A3A2A"/>
          <w:sz w:val="28"/>
          <w:szCs w:val="28"/>
        </w:rPr>
        <w:t xml:space="preserve">Component Colour Map</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Element</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Style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Page Background</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Course Dark (#0D1A14) with subtle gold grid overlay at 3% opacity</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Primary Cards</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Deep Green (#1A3A2A) at 35% opacity; border 1px Tour Gold at 15% opacity</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Input Fields</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Course Dark at 90% opacity; border Tour Gold at 20%; focus state: solid Tour Gold border</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Primary CTA Button</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Gradient Fairway → Gold Dim; border 1px Tour Gold; text Cream</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Secondary Button</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Fairway at 40% opacity; border Tour Gold at 30%; text Cream</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Danger / Error</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#F87171 (red) with 15% opacity background</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Success</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#4ADE80 (green) with 10% opacity background</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Active / Live Indicator</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#4ADE80 with pulsing box-shadow animation</w:t>
            </w:r>
          </w:p>
        </w:tc>
      </w:tr>
    </w:tbl>
    <w:p>
      <w:pPr>
        <w:spacing w:before="200" w:after="0"/>
      </w:pPr>
      <w:r>
        <w:t xml:space="preserve"/>
      </w:r>
    </w:p>
    <w:p>
      <w:pPr>
        <w:spacing w:before="360" w:after="120"/>
      </w:pPr>
      <w:r>
        <w:rPr>
          <w:rFonts w:ascii="Arial" w:cs="Arial" w:eastAsia="Arial" w:hAnsi="Arial"/>
          <w:b/>
          <w:bCs/>
          <w:color w:val="1A3A2A"/>
          <w:sz w:val="28"/>
          <w:szCs w:val="28"/>
        </w:rPr>
        <w:t xml:space="preserve">Typography in UI</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Element</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Style</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Section Labels</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DM Mono, 10–11pt, Tour Gold (#C9A84C), ALL CAPS, 0.2em letter-spacing</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Card Titles</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Playfair Display or Georgia, 18–20pt, Cream</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Body / Description</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DM Sans, 13pt, Cream at 50% opacity (rgba 245,240,232,0.5)</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Data Values</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DM Mono, size varies by context, Cream or Tour Gold</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Timestamps / Meta</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DM Mono, 11pt, Cream at 40% opacity</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Navigation</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DM Sans, 13pt, Cream; active item: Tour Gold</w:t>
            </w:r>
          </w:p>
        </w:tc>
      </w:tr>
    </w:tbl>
    <w:p>
      <w:pPr>
        <w:pBdr>
          <w:bottom w:val="single" w:color="3D7A52" w:sz="4" w:space="1"/>
        </w:pBdr>
        <w:spacing w:before="240" w:after="24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A3D" w:val="clear"/>
            <w:tcMar>
              <w:top w:type="dxa" w:w="200"/>
              <w:left w:type="dxa" w:w="360"/>
              <w:bottom w:type="dxa" w:w="200"/>
              <w:right w:type="dxa" w:w="360"/>
            </w:tcMar>
          </w:tcPr>
          <w:p>
            <w:r>
              <w:rPr>
                <w:rFonts w:ascii="Arial" w:cs="Arial" w:eastAsia="Arial" w:hAnsi="Arial"/>
                <w:b/>
                <w:bCs/>
                <w:color w:val="F5F0E8"/>
                <w:spacing w:val="120"/>
                <w:sz w:val="26"/>
                <w:szCs w:val="26"/>
              </w:rPr>
              <w:t xml:space="preserve">09 — BRAND MISUSE</w:t>
            </w:r>
          </w:p>
        </w:tc>
      </w:tr>
    </w:tbl>
    <w:p>
      <w:pPr>
        <w:spacing w:before="200" w:after="0"/>
      </w:pPr>
      <w:r>
        <w:t xml:space="preserve"/>
      </w:r>
    </w:p>
    <w:p>
      <w:pPr>
        <w:spacing w:before="360" w:after="120"/>
      </w:pPr>
      <w:r>
        <w:rPr>
          <w:rFonts w:ascii="Arial" w:cs="Arial" w:eastAsia="Arial" w:hAnsi="Arial"/>
          <w:b/>
          <w:bCs/>
          <w:color w:val="1A3A2A"/>
          <w:sz w:val="28"/>
          <w:szCs w:val="28"/>
        </w:rPr>
        <w:t xml:space="preserve">Common Misuse Examples</w:t>
      </w:r>
    </w:p>
    <w:p>
      <w:pPr>
        <w:spacing w:before="60" w:after="100"/>
      </w:pPr>
      <w:r>
        <w:rPr>
          <w:rFonts w:ascii="Arial" w:cs="Arial" w:eastAsia="Arial" w:hAnsi="Arial"/>
          <w:b w:val="false"/>
          <w:bCs w:val="false"/>
          <w:color w:val="111111"/>
          <w:sz w:val="22"/>
          <w:szCs w:val="22"/>
        </w:rPr>
        <w:t xml:space="preserve">The following should be avoided in all LinksData Lab brand expressions:</w:t>
      </w:r>
    </w:p>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Issue</w:t>
            </w:r>
          </w:p>
        </w:tc>
        <w:tc>
          <w:tcPr>
            <w:tcW w:type="dxa" w:w="6480"/>
            <w:tcBorders>
              <w:top w:val="none" w:color="FFFFFF" w:sz="0"/>
              <w:left w:val="none" w:color="FFFFFF" w:sz="0"/>
              <w:bottom w:val="none" w:color="FFFFFF" w:sz="0"/>
              <w:right w:val="none" w:color="FFFFFF" w:sz="0"/>
            </w:tcBorders>
            <w:shd w:fill="1A3A2A" w:val="clear"/>
            <w:tcMar>
              <w:top w:type="dxa" w:w="100"/>
              <w:left w:type="dxa" w:w="120"/>
              <w:bottom w:type="dxa" w:w="100"/>
              <w:right w:type="dxa" w:w="120"/>
            </w:tcMar>
          </w:tcPr>
          <w:p>
            <w:r>
              <w:rPr>
                <w:rFonts w:ascii="Arial" w:cs="Arial" w:eastAsia="Arial" w:hAnsi="Arial"/>
                <w:b/>
                <w:bCs/>
                <w:color w:val="F5F0E8"/>
                <w:sz w:val="20"/>
                <w:szCs w:val="20"/>
              </w:rPr>
              <w:t xml:space="preserve">Description</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Wrong Colours</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Using bright blue, purple, or orange as primary colours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Wrong Typefaces</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Using system fonts (Times New Roman, Arial default) in brand materials</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Logo Misuse</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Distorting, recolouring, shadowing, or cropping the logo mark</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Tone Mismatch</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Casual, jokey, or informal copy on stat cards or analytical content</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Data Decoration</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Adding visual effects to charts that obscure data accuracy</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Light Mode Override</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Presenting LinksData Lab digital products in light mode without explicit brand approval</w:t>
            </w:r>
          </w:p>
        </w:tc>
      </w:tr>
      <w:tr>
        <w:tc>
          <w:tcPr>
            <w:tcW w:type="dxa" w:w="28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b/>
                <w:bCs/>
                <w:color w:val="1A3A2A"/>
                <w:sz w:val="20"/>
                <w:szCs w:val="20"/>
              </w:rPr>
              <w:t xml:space="preserve">Off-Brand Imagery</w:t>
            </w:r>
          </w:p>
        </w:tc>
        <w:tc>
          <w:tcPr>
            <w:tcW w:type="dxa" w:w="6480"/>
            <w:tcBorders>
              <w:top w:val="none" w:color="FFFFFF" w:sz="0"/>
              <w:left w:val="none" w:color="FFFFFF" w:sz="0"/>
              <w:bottom w:val="none" w:color="FFFFFF" w:sz="0"/>
              <w:right w:val="none" w:color="FFFFFF" w:sz="0"/>
            </w:tcBorders>
            <w:shd w:fill="F0EDE6" w:val="clear"/>
            <w:tcMar>
              <w:top w:type="dxa" w:w="80"/>
              <w:left w:type="dxa" w:w="120"/>
              <w:bottom w:type="dxa" w:w="80"/>
              <w:right w:type="dxa" w:w="120"/>
            </w:tcMar>
          </w:tcPr>
          <w:p>
            <w:r>
              <w:rPr>
                <w:rFonts w:ascii="Arial" w:cs="Arial" w:eastAsia="Arial" w:hAnsi="Arial"/>
                <w:color w:val="111111"/>
                <w:sz w:val="20"/>
                <w:szCs w:val="20"/>
              </w:rPr>
              <w:t xml:space="preserve">Clip art, cartoony golf imagery, stock photo clichés (handshakes, generic graphs)</w:t>
            </w:r>
          </w:p>
        </w:tc>
      </w:tr>
      <w:tr>
        <w:tc>
          <w:tcPr>
            <w:tcW w:type="dxa" w:w="28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b/>
                <w:bCs/>
                <w:color w:val="1A3A2A"/>
                <w:sz w:val="20"/>
                <w:szCs w:val="20"/>
              </w:rPr>
              <w:t xml:space="preserve">Trademark Usage</w:t>
            </w:r>
          </w:p>
        </w:tc>
        <w:tc>
          <w:tcPr>
            <w:tcW w:type="dxa" w:w="6480"/>
            <w:tcBorders>
              <w:top w:val="none" w:color="FFFFFF" w:sz="0"/>
              <w:left w:val="none" w:color="FFFFFF" w:sz="0"/>
              <w:bottom w:val="none" w:color="FFFFFF" w:sz="0"/>
              <w:right w:val="none" w:color="FFFFFF" w:sz="0"/>
            </w:tcBorders>
            <w:shd w:fill="F5F0E8" w:val="clear"/>
            <w:tcMar>
              <w:top w:type="dxa" w:w="80"/>
              <w:left w:type="dxa" w:w="120"/>
              <w:bottom w:type="dxa" w:w="80"/>
              <w:right w:type="dxa" w:w="120"/>
            </w:tcMar>
          </w:tcPr>
          <w:p>
            <w:r>
              <w:rPr>
                <w:rFonts w:ascii="Arial" w:cs="Arial" w:eastAsia="Arial" w:hAnsi="Arial"/>
                <w:color w:val="111111"/>
                <w:sz w:val="20"/>
                <w:szCs w:val="20"/>
              </w:rPr>
              <w:t xml:space="preserve">Using PGA Tour, OWGR, or DataGolf brand names without proper attribution</w:t>
            </w:r>
          </w:p>
        </w:tc>
      </w:tr>
    </w:tbl>
    <w:p>
      <w:pPr>
        <w:pBdr>
          <w:bottom w:val="single" w:color="3D7A52" w:sz="4" w:space="1"/>
        </w:pBdr>
        <w:spacing w:before="240" w:after="240"/>
      </w:pPr>
      <w:r>
        <w:t xml:space="preserve"/>
      </w:r>
    </w:p>
    <w:p>
      <w:pPr>
        <w:spacing w:before="30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2A" w:val="clear"/>
            <w:tcMar>
              <w:top w:type="dxa" w:w="400"/>
              <w:left w:type="dxa" w:w="500"/>
              <w:bottom w:type="dxa" w:w="400"/>
              <w:right w:type="dxa" w:w="500"/>
            </w:tcMar>
          </w:tcPr>
          <w:p>
            <w:pPr>
              <w:spacing w:before="0" w:after="160"/>
              <w:jc w:val="center"/>
            </w:pPr>
            <w:r>
              <w:rPr>
                <w:rFonts w:ascii="Georgia" w:cs="Georgia" w:eastAsia="Georgia" w:hAnsi="Georgia"/>
                <w:b/>
                <w:bCs/>
                <w:color w:val="C9A84C"/>
                <w:sz w:val="28"/>
                <w:szCs w:val="28"/>
              </w:rPr>
              <w:t xml:space="preserve">LinksData Lab Brand Guidelines</w:t>
            </w:r>
          </w:p>
          <w:p>
            <w:pPr>
              <w:spacing w:before="0" w:after="160"/>
              <w:jc w:val="center"/>
            </w:pPr>
            <w:r>
              <w:rPr>
                <w:rFonts w:ascii="Arial" w:cs="Arial" w:eastAsia="Arial" w:hAnsi="Arial"/>
                <w:color w:val="F5F0E8"/>
                <w:sz w:val="20"/>
                <w:szCs w:val="20"/>
              </w:rPr>
              <w:t xml:space="preserve">Questions about brand usage? Contact the LinksData Lab team.</w:t>
            </w:r>
          </w:p>
          <w:p>
            <w:pPr>
              <w:jc w:val="center"/>
            </w:pPr>
            <w:r>
              <w:rPr>
                <w:rFonts w:ascii="DM Mono" w:cs="DM Mono" w:eastAsia="DM Mono" w:hAnsi="DM Mono"/>
                <w:color w:val="A0C4B0"/>
                <w:sz w:val="18"/>
                <w:szCs w:val="18"/>
              </w:rPr>
              <w:t xml:space="preserve">linksdatalab.com  ·  Version 1.0  ·  2025</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2026-03-15T23:30:17.413Z</dcterms:created>
  <dcterms:modified xsi:type="dcterms:W3CDTF">2026-03-15T23:30:17.414Z</dcterms:modified>
</cp:coreProperties>
</file>

<file path=docProps/custom.xml><?xml version="1.0" encoding="utf-8"?>
<Properties xmlns="http://schemas.openxmlformats.org/officeDocument/2006/custom-properties" xmlns:vt="http://schemas.openxmlformats.org/officeDocument/2006/docPropsVTypes"/>
</file>