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Calibri" w:cs="Calibri" w:eastAsia="Calibri" w:hAnsi="Calibri"/>
          <w:b w:val="1"/>
          <w:bCs w:val="1"/>
          <w:color w:val="313a67"/>
          <w:sz w:val="44"/>
          <w:szCs w:val="44"/>
        </w:rPr>
      </w:pPr>
      <w:r w:rsidDel="00000000" w:rsidR="00000000" w:rsidRPr="00000000">
        <w:rPr>
          <w:rFonts w:ascii="Montserrat Black" w:cs="Montserrat Black" w:eastAsia="Montserrat Black" w:hAnsi="Montserrat Black"/>
          <w:color w:val="313a67"/>
          <w:sz w:val="44"/>
          <w:szCs w:val="44"/>
        </w:rPr>
        <w:drawing>
          <wp:anchor allowOverlap="1" behindDoc="1" distB="114300" distT="114300" distL="114300" distR="114300" hidden="0" layoutInCell="1" locked="0" relativeHeight="0" simplePos="0">
            <wp:simplePos x="0" y="0"/>
            <wp:positionH relativeFrom="page">
              <wp:posOffset>4399650</wp:posOffset>
            </wp:positionH>
            <wp:positionV relativeFrom="page">
              <wp:posOffset>462464</wp:posOffset>
            </wp:positionV>
            <wp:extent cx="2801217" cy="9172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1217" cy="917213"/>
                    </a:xfrm>
                    <a:prstGeom prst="rect"/>
                    <a:ln/>
                  </pic:spPr>
                </pic:pic>
              </a:graphicData>
            </a:graphic>
          </wp:anchor>
        </w:drawing>
      </w:r>
      <w:r w:rsidDel="00000000" w:rsidR="00000000" w:rsidRPr="00000000">
        <w:rPr>
          <w:rFonts w:ascii="Calibri" w:cs="Calibri" w:eastAsia="Calibri" w:hAnsi="Calibri"/>
          <w:b w:val="1"/>
          <w:bCs w:val="1"/>
          <w:color w:val="313a67"/>
          <w:sz w:val="44"/>
          <w:szCs w:val="44"/>
          <w:rtl w:val="0"/>
        </w:rPr>
        <w:t xml:space="preserve">Level 2</w:t>
      </w:r>
    </w:p>
    <w:p w:rsidR="00000000" w:rsidDel="00000000" w:rsidP="00000000" w:rsidRDefault="00000000" w:rsidRPr="00000000" w14:paraId="00000002">
      <w:pPr>
        <w:widowControl w:val="0"/>
        <w:spacing w:line="240" w:lineRule="auto"/>
        <w:rPr>
          <w:rFonts w:ascii="Calibri" w:cs="Calibri" w:eastAsia="Calibri" w:hAnsi="Calibri"/>
          <w:b w:val="1"/>
          <w:bCs w:val="1"/>
          <w:color w:val="313a67"/>
          <w:sz w:val="44"/>
          <w:szCs w:val="44"/>
        </w:rPr>
      </w:pPr>
      <w:r w:rsidDel="00000000" w:rsidR="00000000" w:rsidRPr="00000000">
        <w:rPr>
          <w:rFonts w:ascii="Calibri" w:cs="Calibri" w:eastAsia="Calibri" w:hAnsi="Calibri"/>
          <w:b w:val="1"/>
          <w:bCs w:val="1"/>
          <w:color w:val="313a67"/>
          <w:sz w:val="44"/>
          <w:szCs w:val="44"/>
          <w:rtl w:val="0"/>
        </w:rPr>
        <w:t xml:space="preserve">Health</w:t>
      </w:r>
    </w:p>
    <w:p w:rsidR="00000000" w:rsidDel="00000000" w:rsidP="00000000" w:rsidRDefault="00000000" w:rsidRPr="00000000" w14:paraId="00000003">
      <w:pPr>
        <w:widowControl w:val="0"/>
        <w:spacing w:line="240" w:lineRule="auto"/>
        <w:rPr>
          <w:rFonts w:ascii="Calibri" w:cs="Calibri" w:eastAsia="Calibri" w:hAnsi="Calibri"/>
          <w:b w:val="1"/>
          <w:bCs w:val="1"/>
          <w:color w:val="313a67"/>
          <w:sz w:val="44"/>
          <w:szCs w:val="44"/>
        </w:rPr>
      </w:pPr>
      <w:r w:rsidDel="00000000" w:rsidR="00000000" w:rsidRPr="00000000">
        <w:rPr>
          <w:rFonts w:ascii="Calibri" w:cs="Calibri" w:eastAsia="Calibri" w:hAnsi="Calibri"/>
          <w:b w:val="1"/>
          <w:bCs w:val="1"/>
          <w:color w:val="313a67"/>
          <w:sz w:val="44"/>
          <w:szCs w:val="44"/>
          <w:rtl w:val="0"/>
        </w:rPr>
        <w:t xml:space="preserve">Course Outline 2026</w:t>
      </w:r>
    </w:p>
    <w:p w:rsidR="00000000" w:rsidDel="00000000" w:rsidP="00000000" w:rsidRDefault="00000000" w:rsidRPr="00000000" w14:paraId="00000004">
      <w:pPr>
        <w:widowControl w:val="0"/>
        <w:spacing w:line="240" w:lineRule="auto"/>
        <w:rPr>
          <w:rFonts w:ascii="Calibri" w:cs="Calibri" w:eastAsia="Calibri" w:hAnsi="Calibri"/>
          <w:b w:val="1"/>
          <w:bCs w:val="1"/>
          <w:color w:val="313a67"/>
          <w:sz w:val="44"/>
          <w:szCs w:val="44"/>
        </w:rPr>
      </w:pPr>
      <w:r w:rsidDel="00000000" w:rsidR="00000000" w:rsidRPr="00000000">
        <w:rPr>
          <w:rFonts w:ascii="Calibri" w:cs="Calibri" w:eastAsia="Calibri" w:hAnsi="Calibri"/>
          <w:b w:val="1"/>
          <w:bCs w:val="1"/>
          <w:color w:val="313a67"/>
          <w:sz w:val="44"/>
          <w:szCs w:val="44"/>
          <w:rtl w:val="0"/>
        </w:rPr>
        <w:t xml:space="preserve">Semester Full Year</w:t>
      </w:r>
    </w:p>
    <w:p w:rsidR="00000000" w:rsidDel="00000000" w:rsidP="00000000" w:rsidRDefault="00000000" w:rsidRPr="00000000" w14:paraId="00000005">
      <w:pPr>
        <w:widowControl w:val="0"/>
        <w:spacing w:line="240" w:lineRule="auto"/>
        <w:rPr>
          <w:rFonts w:ascii="Montserrat Black" w:cs="Montserrat Black" w:eastAsia="Montserrat Black" w:hAnsi="Montserrat Black"/>
          <w:color w:val="313a67"/>
          <w:sz w:val="44"/>
          <w:szCs w:val="44"/>
        </w:rPr>
      </w:pPr>
      <w:r w:rsidDel="00000000" w:rsidR="00000000" w:rsidRPr="00000000">
        <w:rPr>
          <w:rtl w:val="0"/>
        </w:rPr>
      </w:r>
    </w:p>
    <w:tbl>
      <w:tblPr>
        <w:tblStyle w:val="Table1"/>
        <w:tblW w:w="10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5355"/>
        <w:gridCol w:w="1905"/>
        <w:gridCol w:w="1950"/>
        <w:tblGridChange w:id="0">
          <w:tblGrid>
            <w:gridCol w:w="1710"/>
            <w:gridCol w:w="5355"/>
            <w:gridCol w:w="1905"/>
            <w:gridCol w:w="1950"/>
          </w:tblGrid>
        </w:tblGridChange>
      </w:tblGrid>
      <w:tr>
        <w:trPr>
          <w:cantSplit w:val="0"/>
          <w:trHeight w:val="600" w:hRule="atLeast"/>
          <w:tblHeader w:val="0"/>
        </w:trPr>
        <w:tc>
          <w:tcPr>
            <w:gridSpan w:val="4"/>
            <w:shd w:fill="ffe599" w:val="clear"/>
            <w:tcMar>
              <w:top w:w="100.0" w:type="dxa"/>
              <w:left w:w="100.0" w:type="dxa"/>
              <w:bottom w:w="100.0" w:type="dxa"/>
              <w:right w:w="100.0" w:type="dxa"/>
            </w:tcMar>
            <w:vAlign w:val="top"/>
          </w:tcPr>
          <w:p w:rsidR="00000000" w:rsidDel="00000000" w:rsidP="00000000" w:rsidRDefault="00000000" w:rsidRPr="00000000" w14:paraId="00000006">
            <w:pPr>
              <w:widowControl w:val="0"/>
              <w:rPr>
                <w:rFonts w:ascii="Calibri" w:cs="Calibri" w:eastAsia="Calibri" w:hAnsi="Calibri"/>
                <w:b w:val="1"/>
                <w:bCs w:val="1"/>
                <w:color w:val="313a67"/>
                <w:sz w:val="20"/>
                <w:szCs w:val="20"/>
              </w:rPr>
            </w:pPr>
            <w:r w:rsidDel="00000000" w:rsidR="00000000" w:rsidRPr="00000000">
              <w:rPr>
                <w:rtl w:val="0"/>
              </w:rPr>
            </w:r>
          </w:p>
          <w:p w:rsidR="00000000" w:rsidDel="00000000" w:rsidP="00000000" w:rsidRDefault="00000000" w:rsidRPr="00000000" w14:paraId="00000007">
            <w:pPr>
              <w:widowControl w:val="0"/>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Course Description / Course overview / Driving Question: </w:t>
            </w:r>
          </w:p>
          <w:p w:rsidR="00000000" w:rsidDel="00000000" w:rsidP="00000000" w:rsidRDefault="00000000" w:rsidRPr="00000000" w14:paraId="00000008">
            <w:pPr>
              <w:widowControl w:val="0"/>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How can exploring gender identity, sexuality, and adolescent health issues help us better understand the role of societal influences in shaping individual well-being and managing personal change during adolescence?</w:t>
            </w:r>
          </w:p>
          <w:p w:rsidR="00000000" w:rsidDel="00000000" w:rsidP="00000000" w:rsidRDefault="00000000" w:rsidRPr="00000000" w14:paraId="00000009">
            <w:pPr>
              <w:widowControl w:val="0"/>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Level 2 NCEA Health provides learners with a foundational exploration of critical health concepts, including gender and sexuality, managing change, and adolescent health issues. Within the curriculum, students examine the complexities of gender identity and sexual health, understanding societal influences on these aspects of well-being. The course also emphasises skills for managing personal and societal changes, fostering adaptability and resilience. In addition, students critically analyse various adolescent health issues, such as mental health and relationships. This holistic approach equips students with essential knowledge and skills, preparing them to navigate the challenges of adolescence and make informed decisions regarding their well-being.</w:t>
            </w:r>
          </w:p>
          <w:p w:rsidR="00000000" w:rsidDel="00000000" w:rsidP="00000000" w:rsidRDefault="00000000" w:rsidRPr="00000000" w14:paraId="0000000A">
            <w:pPr>
              <w:widowControl w:val="0"/>
              <w:rPr>
                <w:rFonts w:ascii="Calibri" w:cs="Calibri" w:eastAsia="Calibri" w:hAnsi="Calibri"/>
                <w:color w:val="313a67"/>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Standard:</w:t>
            </w:r>
          </w:p>
        </w:tc>
        <w:tc>
          <w:tcP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Ideas / Context / Key learning outcomes</w:t>
            </w:r>
          </w:p>
        </w:tc>
        <w:tc>
          <w:tcP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Timeframe</w:t>
            </w:r>
          </w:p>
        </w:tc>
        <w:tc>
          <w:tcP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Calibri" w:cs="Calibri" w:eastAsia="Calibri" w:hAnsi="Calibri"/>
                <w:b w:val="1"/>
                <w:bCs w:val="1"/>
                <w:color w:val="313a67"/>
                <w:sz w:val="20"/>
                <w:szCs w:val="20"/>
              </w:rPr>
            </w:pPr>
            <w:r w:rsidDel="00000000" w:rsidR="00000000" w:rsidRPr="00000000">
              <w:rPr>
                <w:rFonts w:ascii="Calibri" w:cs="Calibri" w:eastAsia="Calibri" w:hAnsi="Calibri"/>
                <w:b w:val="1"/>
                <w:bCs w:val="1"/>
                <w:color w:val="313a67"/>
                <w:sz w:val="20"/>
                <w:szCs w:val="20"/>
                <w:rtl w:val="0"/>
              </w:rPr>
              <w:t xml:space="preserve">Credits </w:t>
            </w:r>
          </w:p>
        </w:tc>
      </w:tr>
      <w:tr>
        <w:trPr>
          <w:cantSplit w:val="0"/>
          <w:trHeight w:val="815.9765625"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12">
            <w:pPr>
              <w:widowControl w:val="0"/>
              <w:jc w:val="center"/>
              <w:rPr>
                <w:rFonts w:ascii="Calibri" w:cs="Calibri" w:eastAsia="Calibri" w:hAnsi="Calibri"/>
                <w:color w:val="313a67"/>
                <w:sz w:val="20"/>
                <w:szCs w:val="20"/>
              </w:rPr>
            </w:pPr>
            <w:r w:rsidDel="00000000" w:rsidR="00000000" w:rsidRPr="00000000">
              <w:rPr>
                <w:rtl w:val="0"/>
              </w:rPr>
            </w:r>
          </w:p>
          <w:p w:rsidR="00000000" w:rsidDel="00000000" w:rsidP="00000000" w:rsidRDefault="00000000" w:rsidRPr="00000000" w14:paraId="00000013">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91236  2.2 </w:t>
            </w:r>
          </w:p>
          <w:p w:rsidR="00000000" w:rsidDel="00000000" w:rsidP="00000000" w:rsidRDefault="00000000" w:rsidRPr="00000000" w14:paraId="00000014">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ff9900"/>
                <w:sz w:val="20"/>
                <w:szCs w:val="20"/>
                <w:rtl w:val="0"/>
              </w:rPr>
              <w:t xml:space="preserve">Internal</w:t>
            </w:r>
          </w:p>
          <w:p w:rsidR="00000000" w:rsidDel="00000000" w:rsidP="00000000" w:rsidRDefault="00000000" w:rsidRPr="00000000" w14:paraId="00000015">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313a67"/>
                <w:sz w:val="20"/>
                <w:szCs w:val="20"/>
                <w:rtl w:val="0"/>
              </w:rPr>
              <w:t xml:space="preserve">Evaluate factors that  influence people’s ability to manage change</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Learners assess various factors affecting how individuals cope with change, considering personal, interpersonal, and societal influences.</w:t>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Term 1</w:t>
            </w:r>
          </w:p>
          <w:p w:rsidR="00000000" w:rsidDel="00000000" w:rsidP="00000000" w:rsidRDefault="00000000" w:rsidRPr="00000000" w14:paraId="00000018">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10 Weeks</w:t>
            </w:r>
          </w:p>
        </w:tc>
        <w:tc>
          <w:tcPr>
            <w:tcMar>
              <w:top w:w="100.0" w:type="dxa"/>
              <w:left w:w="100.0" w:type="dxa"/>
              <w:bottom w:w="100.0" w:type="dxa"/>
              <w:right w:w="100.0" w:type="dxa"/>
            </w:tcMar>
            <w:vAlign w:val="center"/>
          </w:tcPr>
          <w:p w:rsidR="00000000" w:rsidDel="00000000" w:rsidP="00000000" w:rsidRDefault="00000000" w:rsidRPr="00000000" w14:paraId="00000019">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5</w:t>
            </w:r>
          </w:p>
        </w:tc>
      </w:tr>
      <w:tr>
        <w:trPr>
          <w:cantSplit w:val="0"/>
          <w:trHeight w:val="55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A">
            <w:pPr>
              <w:widowControl w:val="0"/>
              <w:jc w:val="center"/>
              <w:rPr>
                <w:rFonts w:ascii="Calibri" w:cs="Calibri" w:eastAsia="Calibri" w:hAnsi="Calibri"/>
                <w:color w:val="313a67"/>
                <w:sz w:val="20"/>
                <w:szCs w:val="20"/>
              </w:rPr>
            </w:pPr>
            <w:r w:rsidDel="00000000" w:rsidR="00000000" w:rsidRPr="00000000">
              <w:rPr>
                <w:rtl w:val="0"/>
              </w:rPr>
            </w:r>
          </w:p>
          <w:p w:rsidR="00000000" w:rsidDel="00000000" w:rsidP="00000000" w:rsidRDefault="00000000" w:rsidRPr="00000000" w14:paraId="0000001B">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91239  2.5</w:t>
            </w:r>
          </w:p>
          <w:p w:rsidR="00000000" w:rsidDel="00000000" w:rsidP="00000000" w:rsidRDefault="00000000" w:rsidRPr="00000000" w14:paraId="0000001C">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ff9900"/>
                <w:sz w:val="20"/>
                <w:szCs w:val="20"/>
                <w:rtl w:val="0"/>
              </w:rPr>
              <w:t xml:space="preserve">Internal</w:t>
            </w:r>
          </w:p>
          <w:p w:rsidR="00000000" w:rsidDel="00000000" w:rsidP="00000000" w:rsidRDefault="00000000" w:rsidRPr="00000000" w14:paraId="0000001D">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313a67"/>
                <w:sz w:val="20"/>
                <w:szCs w:val="20"/>
                <w:rtl w:val="0"/>
              </w:rPr>
              <w:t xml:space="preserve">Analyse issues related to sexuality and gender to develop strategies for addressing the issues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This assessment involves examining sexuality and gender-related challenges and formulating strategies to address them effectively.</w:t>
            </w:r>
          </w:p>
        </w:tc>
        <w:tc>
          <w:tcPr>
            <w:tcMar>
              <w:top w:w="100.0" w:type="dxa"/>
              <w:left w:w="100.0" w:type="dxa"/>
              <w:bottom w:w="100.0" w:type="dxa"/>
              <w:right w:w="100.0" w:type="dxa"/>
            </w:tcMar>
            <w:vAlign w:val="center"/>
          </w:tcPr>
          <w:p w:rsidR="00000000" w:rsidDel="00000000" w:rsidP="00000000" w:rsidRDefault="00000000" w:rsidRPr="00000000" w14:paraId="0000001F">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Term 2</w:t>
            </w:r>
          </w:p>
          <w:p w:rsidR="00000000" w:rsidDel="00000000" w:rsidP="00000000" w:rsidRDefault="00000000" w:rsidRPr="00000000" w14:paraId="00000020">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11 Weeks</w:t>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5</w:t>
            </w:r>
          </w:p>
        </w:tc>
      </w:tr>
      <w:tr>
        <w:trPr>
          <w:cantSplit w:val="0"/>
          <w:trHeight w:val="55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2">
            <w:pPr>
              <w:widowControl w:val="0"/>
              <w:jc w:val="center"/>
              <w:rPr>
                <w:rFonts w:ascii="Calibri" w:cs="Calibri" w:eastAsia="Calibri" w:hAnsi="Calibri"/>
                <w:color w:val="313a67"/>
                <w:sz w:val="20"/>
                <w:szCs w:val="20"/>
              </w:rPr>
            </w:pPr>
            <w:r w:rsidDel="00000000" w:rsidR="00000000" w:rsidRPr="00000000">
              <w:rPr>
                <w:rtl w:val="0"/>
              </w:rPr>
            </w:r>
          </w:p>
          <w:p w:rsidR="00000000" w:rsidDel="00000000" w:rsidP="00000000" w:rsidRDefault="00000000" w:rsidRPr="00000000" w14:paraId="00000023">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91237  2.3</w:t>
            </w:r>
          </w:p>
          <w:p w:rsidR="00000000" w:rsidDel="00000000" w:rsidP="00000000" w:rsidRDefault="00000000" w:rsidRPr="00000000" w14:paraId="00000024">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ff9900"/>
                <w:sz w:val="20"/>
                <w:szCs w:val="20"/>
                <w:rtl w:val="0"/>
              </w:rPr>
              <w:t xml:space="preserve">Internal</w:t>
            </w:r>
          </w:p>
          <w:p w:rsidR="00000000" w:rsidDel="00000000" w:rsidP="00000000" w:rsidRDefault="00000000" w:rsidRPr="00000000" w14:paraId="00000025">
            <w:pPr>
              <w:widowControl w:val="0"/>
              <w:spacing w:line="240" w:lineRule="auto"/>
              <w:jc w:val="center"/>
              <w:rPr>
                <w:rFonts w:ascii="Calibri" w:cs="Calibri" w:eastAsia="Calibri" w:hAnsi="Calibri"/>
                <w:color w:val="ff9900"/>
                <w:sz w:val="20"/>
                <w:szCs w:val="20"/>
              </w:rPr>
            </w:pPr>
            <w:r w:rsidDel="00000000" w:rsidR="00000000" w:rsidRPr="00000000">
              <w:rPr>
                <w:rFonts w:ascii="Calibri" w:cs="Calibri" w:eastAsia="Calibri" w:hAnsi="Calibri"/>
                <w:color w:val="313a67"/>
                <w:sz w:val="20"/>
                <w:szCs w:val="20"/>
                <w:rtl w:val="0"/>
              </w:rPr>
              <w:t xml:space="preserve">Take action to enhance an aspect of people's well-being within the school or wider community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Learners plan and implement a health-related initiative aimed at improving well-being in their community or school.</w:t>
            </w:r>
          </w:p>
        </w:tc>
        <w:tc>
          <w:tcPr>
            <w:tcMar>
              <w:top w:w="100.0" w:type="dxa"/>
              <w:left w:w="100.0" w:type="dxa"/>
              <w:bottom w:w="100.0" w:type="dxa"/>
              <w:right w:w="100.0" w:type="dxa"/>
            </w:tcMar>
            <w:vAlign w:val="center"/>
          </w:tcPr>
          <w:p w:rsidR="00000000" w:rsidDel="00000000" w:rsidP="00000000" w:rsidRDefault="00000000" w:rsidRPr="00000000" w14:paraId="00000027">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Term 3</w:t>
            </w:r>
          </w:p>
          <w:p w:rsidR="00000000" w:rsidDel="00000000" w:rsidP="00000000" w:rsidRDefault="00000000" w:rsidRPr="00000000" w14:paraId="00000028">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10 Weeks</w:t>
            </w:r>
          </w:p>
        </w:tc>
        <w:tc>
          <w:tcPr>
            <w:tcMar>
              <w:top w:w="100.0" w:type="dxa"/>
              <w:left w:w="100.0" w:type="dxa"/>
              <w:bottom w:w="100.0" w:type="dxa"/>
              <w:right w:w="100.0" w:type="dxa"/>
            </w:tcMar>
            <w:vAlign w:val="center"/>
          </w:tcPr>
          <w:p w:rsidR="00000000" w:rsidDel="00000000" w:rsidP="00000000" w:rsidRDefault="00000000" w:rsidRPr="00000000" w14:paraId="00000029">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5</w:t>
            </w:r>
          </w:p>
        </w:tc>
      </w:tr>
      <w:tr>
        <w:trPr>
          <w:cantSplit w:val="0"/>
          <w:trHeight w:val="55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A">
            <w:pPr>
              <w:widowControl w:val="0"/>
              <w:jc w:val="center"/>
              <w:rPr>
                <w:rFonts w:ascii="Calibri" w:cs="Calibri" w:eastAsia="Calibri" w:hAnsi="Calibri"/>
                <w:color w:val="313a67"/>
                <w:sz w:val="20"/>
                <w:szCs w:val="20"/>
              </w:rPr>
            </w:pPr>
            <w:r w:rsidDel="00000000" w:rsidR="00000000" w:rsidRPr="00000000">
              <w:rPr>
                <w:rtl w:val="0"/>
              </w:rPr>
            </w:r>
          </w:p>
          <w:p w:rsidR="00000000" w:rsidDel="00000000" w:rsidP="00000000" w:rsidRDefault="00000000" w:rsidRPr="00000000" w14:paraId="0000002B">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91235  2.1</w:t>
            </w:r>
          </w:p>
          <w:p w:rsidR="00000000" w:rsidDel="00000000" w:rsidP="00000000" w:rsidRDefault="00000000" w:rsidRPr="00000000" w14:paraId="0000002C">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990000"/>
                <w:sz w:val="20"/>
                <w:szCs w:val="20"/>
                <w:rtl w:val="0"/>
              </w:rPr>
              <w:t xml:space="preserve">External</w:t>
            </w:r>
            <w:r w:rsidDel="00000000" w:rsidR="00000000" w:rsidRPr="00000000">
              <w:rPr>
                <w:rFonts w:ascii="Calibri" w:cs="Calibri" w:eastAsia="Calibri" w:hAnsi="Calibri"/>
                <w:color w:val="313a67"/>
                <w:sz w:val="20"/>
                <w:szCs w:val="20"/>
                <w:rtl w:val="0"/>
              </w:rPr>
              <w:t xml:space="preserve">: </w:t>
            </w:r>
          </w:p>
          <w:p w:rsidR="00000000" w:rsidDel="00000000" w:rsidP="00000000" w:rsidRDefault="00000000" w:rsidRPr="00000000" w14:paraId="0000002D">
            <w:pPr>
              <w:widowControl w:val="0"/>
              <w:spacing w:line="240" w:lineRule="auto"/>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Analyse an adolescent Health Issue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Learners will critically examine a health issue pertinent to adolescents, exploring its causes, effects, and potential solutions.</w:t>
            </w:r>
          </w:p>
        </w:tc>
        <w:tc>
          <w:tcPr>
            <w:tcMar>
              <w:top w:w="100.0" w:type="dxa"/>
              <w:left w:w="100.0" w:type="dxa"/>
              <w:bottom w:w="100.0" w:type="dxa"/>
              <w:right w:w="100.0" w:type="dxa"/>
            </w:tcMar>
            <w:vAlign w:val="center"/>
          </w:tcPr>
          <w:p w:rsidR="00000000" w:rsidDel="00000000" w:rsidP="00000000" w:rsidRDefault="00000000" w:rsidRPr="00000000" w14:paraId="0000002F">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Term 4</w:t>
            </w:r>
          </w:p>
          <w:p w:rsidR="00000000" w:rsidDel="00000000" w:rsidP="00000000" w:rsidRDefault="00000000" w:rsidRPr="00000000" w14:paraId="00000030">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4 Weeks</w:t>
            </w:r>
          </w:p>
        </w:tc>
        <w:tc>
          <w:tcPr>
            <w:tcMar>
              <w:top w:w="100.0" w:type="dxa"/>
              <w:left w:w="100.0" w:type="dxa"/>
              <w:bottom w:w="100.0" w:type="dxa"/>
              <w:right w:w="100.0" w:type="dxa"/>
            </w:tcMar>
            <w:vAlign w:val="center"/>
          </w:tcPr>
          <w:p w:rsidR="00000000" w:rsidDel="00000000" w:rsidP="00000000" w:rsidRDefault="00000000" w:rsidRPr="00000000" w14:paraId="00000031">
            <w:pPr>
              <w:widowControl w:val="0"/>
              <w:jc w:val="center"/>
              <w:rPr>
                <w:rFonts w:ascii="Calibri" w:cs="Calibri" w:eastAsia="Calibri" w:hAnsi="Calibri"/>
                <w:color w:val="313a67"/>
                <w:sz w:val="20"/>
                <w:szCs w:val="20"/>
              </w:rPr>
            </w:pPr>
            <w:r w:rsidDel="00000000" w:rsidR="00000000" w:rsidRPr="00000000">
              <w:rPr>
                <w:rFonts w:ascii="Calibri" w:cs="Calibri" w:eastAsia="Calibri" w:hAnsi="Calibri"/>
                <w:color w:val="313a67"/>
                <w:sz w:val="20"/>
                <w:szCs w:val="20"/>
                <w:rtl w:val="0"/>
              </w:rPr>
              <w:t xml:space="preserve">5</w:t>
            </w:r>
          </w:p>
        </w:tc>
      </w:tr>
    </w:tbl>
    <w:p w:rsidR="00000000" w:rsidDel="00000000" w:rsidP="00000000" w:rsidRDefault="00000000" w:rsidRPr="00000000" w14:paraId="0000003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Opportunity for additional external exam 2.4 </w:t>
      </w: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Black">
    <w:embedBold w:fontKey="{00000000-0000-0000-0000-000000000000}" r:id="rId1" w:subsetted="0"/>
    <w:embedBoldItalic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Black-bold.ttf"/><Relationship Id="rId2" Type="http://schemas.openxmlformats.org/officeDocument/2006/relationships/font" Target="fonts/MontserratBlack-boldItalic.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