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.5"/>
        <w:gridCol w:w="3488.5"/>
        <w:gridCol w:w="3488.5"/>
        <w:gridCol w:w="3488.5"/>
        <w:tblGridChange w:id="0">
          <w:tblGrid>
            <w:gridCol w:w="3488.5"/>
            <w:gridCol w:w="3488.5"/>
            <w:gridCol w:w="3488.5"/>
            <w:gridCol w:w="3488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uckiest Guy" w:cs="Luckiest Guy" w:eastAsia="Luckiest Guy" w:hAnsi="Luckiest Guy"/>
                <w:sz w:val="48"/>
                <w:szCs w:val="48"/>
              </w:rPr>
            </w:pPr>
            <w:r w:rsidDel="00000000" w:rsidR="00000000" w:rsidRPr="00000000">
              <w:rPr>
                <w:rFonts w:ascii="Luckiest Guy" w:cs="Luckiest Guy" w:eastAsia="Luckiest Guy" w:hAnsi="Luckiest Guy"/>
                <w:sz w:val="48"/>
                <w:szCs w:val="48"/>
                <w:rtl w:val="0"/>
              </w:rPr>
              <w:t xml:space="preserve">cyber bullying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Factors that influence someone to discriminate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Societal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Insecurity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status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Satisfication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Abusive home life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Peer pressure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Normalised behaviour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Education - what bullying is/isnt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Rules/parameters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Media - trending behaviours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Consequences of online bullying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 Term Consequences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 Term Consequences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Emotional harm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Avoiding school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Humiliation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isolation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Withdrawn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Suicide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Trust issues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Depression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Difficulty forming relationships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PTSD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 image issues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Running away from home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A&amp;D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Strategies to support social justice for online bullying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Societal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block/report account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Engage in other activities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media breaks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 love/self care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Netsafe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Tell friend, teacher, family member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Netsafe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Counselling services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Antibullying campaigns/ movements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 line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Speak at assemblies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Speak to ppl who can advocated local mps, politicians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kiest Guy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uckiestGuy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