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C7F77"/>
          <w:sz w:val="18"/>
          <w:szCs w:val="18"/>
        </w:rPr>
        <w:t xml:space="preserve">CHEFREADY4 · EVENTOS B2B — USO INTERNO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4202B"/>
          <w:sz w:val="40"/>
          <w:szCs w:val="40"/>
        </w:rPr>
        <w:t xml:space="preserve">Motor de Demanda — Arquitectura del portal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/>
          <w:iCs/>
          <w:color w:val="5A6673"/>
          <w:sz w:val="22"/>
          <w:szCs w:val="22"/>
        </w:rPr>
        <w:t xml:space="preserve">Cómo se construye el portal donde el equipo interno jala bases, normaliza, enriquece, prospecta, envía correos vía terceros y entrega listas verificadas al call center.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0A6B64"/>
          <w:sz w:val="20"/>
          <w:szCs w:val="20"/>
        </w:rPr>
        <w:t xml:space="preserve">Enfoque híbrido  ·  Volumen 10k–100k/mes  ·  Fuentes: Apollo + CSV</w:t>
      </w:r>
    </w:p>
    <w:p>
      <w:pPr>
        <w:pBdr>
          <w:bottom w:val="single" w:color="0C7F77" w:sz="14" w:space="8"/>
        </w:pBdr>
        <w:spacing w:after="20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0C7F77"/>
          <w:spacing w:val="30"/>
          <w:sz w:val="17"/>
          <w:szCs w:val="17"/>
        </w:rPr>
        <w:t xml:space="preserve">EL FLUJO COMPLETO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4202B"/>
        </w:rPr>
        <w:t xml:space="preserve">Cómo viaja un contacto, de la fuente al call center</w:t>
      </w:r>
    </w:p>
    <w:p>
      <w:pPr>
        <w:spacing w:after="120" w:line="27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El portal es la única interfaz que usa el equipo. Las herramientas externas (Apollo, verificador, plataforma de correo) se conectan por API detrás del portal; el usuario nunca las toca directamente. Todo se guarda en una base de datos central, y la última etapa devuelve los resultados de las llamadas a la base para afinar los siguientes envíos.</w:t>
      </w:r>
    </w:p>
    <w:p>
      <w:pPr>
        <w:pBdr>
          <w:top w:val="single" w:color="0C7F77" w:sz="4"/>
          <w:bottom w:val="single" w:color="0C7F77" w:sz="4"/>
          <w:left w:val="single" w:color="0C7F77" w:sz="4"/>
          <w:right w:val="single" w:color="0C7F77" w:sz="4"/>
        </w:pBdr>
        <w:shd w:fill="EEF3F4" w:color="auto" w:val="clear"/>
        <w:spacing w:after="8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4202B"/>
          <w:sz w:val="21"/>
          <w:szCs w:val="21"/>
        </w:rPr>
        <w:t xml:space="preserve">Ingesta  →  Normalización  →  Enriquecimiento  →  Prospección  →  Verificación  →  Mailing  →  Call Center</w:t>
      </w:r>
    </w:p>
    <w:p>
      <w:pPr>
        <w:spacing w:after="120" w:line="278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5A6673"/>
          <w:sz w:val="20"/>
          <w:szCs w:val="20"/>
        </w:rPr>
        <w:t xml:space="preserve">Sobre todo el flujo: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3"/>
          <w:sz w:val="20"/>
          <w:szCs w:val="20"/>
        </w:rPr>
        <w:t xml:space="preserve">el PORTAL orquesta y monitorea cada etapa. Debajo de todo el flujo: la BASE DE DATOS CENTRAL, donde cada etapa lee y escribe.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0C7F77"/>
          <w:spacing w:val="30"/>
          <w:sz w:val="17"/>
          <w:szCs w:val="17"/>
        </w:rPr>
        <w:t xml:space="preserve">PASO A PASO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4202B"/>
        </w:rPr>
        <w:t xml:space="preserve">Las 7 etapas del pipeline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C7F77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14202B"/>
          <w:sz w:val="23"/>
          <w:szCs w:val="23"/>
        </w:rPr>
        <w:t xml:space="preserve">Ingesta de datos</w:t>
      </w:r>
    </w:p>
    <w:p>
      <w:pPr>
        <w:spacing w:after="60" w:line="27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Entra la materia prima: se jalan contactos desde Apollo por API con los filtros del cliente ideal, o se sube un CSV (base propia o del cliente). Cada carga queda registrada como un lote con su origen.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5A6673"/>
          <w:sz w:val="20"/>
          <w:szCs w:val="20"/>
        </w:rPr>
        <w:t xml:space="preserve">Herramienta: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6B64"/>
          <w:sz w:val="20"/>
          <w:szCs w:val="20"/>
        </w:rPr>
        <w:t xml:space="preserve">Apollo API + importador de CSV propio · almacenamiento en PostgreSQL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C7F77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14202B"/>
          <w:sz w:val="23"/>
          <w:szCs w:val="23"/>
        </w:rPr>
        <w:t xml:space="preserve">Normalización y deduplicación</w:t>
      </w:r>
    </w:p>
    <w:p>
      <w:pPr>
        <w:spacing w:after="60" w:line="27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Se estandariza todo: nombres, teléfonos con lada, dominios de empresa homologados, mayúsculas y acentos. Se detectan y fusionan duplicados dentro del lote y contra la base histórica.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5A6673"/>
          <w:sz w:val="20"/>
          <w:szCs w:val="20"/>
        </w:rPr>
        <w:t xml:space="preserve">Herramienta: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6B64"/>
          <w:sz w:val="20"/>
          <w:szCs w:val="20"/>
        </w:rPr>
        <w:t xml:space="preserve">Reglas propias + matching difuso (dominio/email/teléfono) en el backend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C7F77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14202B"/>
          <w:sz w:val="23"/>
          <w:szCs w:val="23"/>
        </w:rPr>
        <w:t xml:space="preserve">Enriquecimiento</w:t>
      </w:r>
    </w:p>
    <w:p>
      <w:pPr>
        <w:spacing w:after="60" w:line="27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Se completan los datos que faltan: cargo, tamaño y sector de la empresa, LinkedIn, país. Un contacto a medias se convierte en un perfil accionable para segmentar y personalizar.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5A6673"/>
          <w:sz w:val="20"/>
          <w:szCs w:val="20"/>
        </w:rPr>
        <w:t xml:space="preserve">Herramienta: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6B64"/>
          <w:sz w:val="20"/>
          <w:szCs w:val="20"/>
        </w:rPr>
        <w:t xml:space="preserve">Apollo Enrichment API (principal) · alternativas: People Data Labs, Clearbit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C7F77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14202B"/>
          <w:sz w:val="23"/>
          <w:szCs w:val="23"/>
        </w:rPr>
        <w:t xml:space="preserve">Prospección, ICP y scoring</w:t>
      </w:r>
    </w:p>
    <w:p>
      <w:pPr>
        <w:spacing w:after="60" w:line="27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Se filtra por el perfil de cliente ideal del evento y se asigna una puntuación a cada contacto. Así se priorizan los mejores prospectos y se descartan los que no encajan.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5A6673"/>
          <w:sz w:val="20"/>
          <w:szCs w:val="20"/>
        </w:rPr>
        <w:t xml:space="preserve">Herramienta: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6B64"/>
          <w:sz w:val="20"/>
          <w:szCs w:val="20"/>
        </w:rPr>
        <w:t xml:space="preserve">Motor de reglas y scoring en el portal sobre los datos ya enriquecidos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C7F77"/>
          <w:sz w:val="24"/>
          <w:szCs w:val="24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14202B"/>
          <w:sz w:val="23"/>
          <w:szCs w:val="23"/>
        </w:rPr>
        <w:t xml:space="preserve">Verificación de correo</w:t>
      </w:r>
    </w:p>
    <w:p>
      <w:pPr>
        <w:spacing w:after="60" w:line="27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Antes de enviar, cada correo se valida para saber si existe y acepta mensajes. Esto protege la entregabilidad y evita rebotes que queman los dominios de envío.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5A6673"/>
          <w:sz w:val="20"/>
          <w:szCs w:val="20"/>
        </w:rPr>
        <w:t xml:space="preserve">Herramienta: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6B64"/>
          <w:sz w:val="20"/>
          <w:szCs w:val="20"/>
        </w:rPr>
        <w:t xml:space="preserve">NeverBounce / MillionVerifier / ZeroBounce vía API (~USD $0.003–0.008 por correo)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C7F77"/>
          <w:sz w:val="24"/>
          <w:szCs w:val="24"/>
        </w:rPr>
        <w:t xml:space="preserve">6.  </w:t>
      </w:r>
      <w:r>
        <w:rPr>
          <w:rFonts w:ascii="Calibri" w:cs="Calibri" w:eastAsia="Calibri" w:hAnsi="Calibri"/>
          <w:b/>
          <w:bCs/>
          <w:i w:val="false"/>
          <w:iCs w:val="false"/>
          <w:color w:val="14202B"/>
          <w:sz w:val="23"/>
          <w:szCs w:val="23"/>
        </w:rPr>
        <w:t xml:space="preserve">Mailing (envío vía terceros)</w:t>
      </w:r>
    </w:p>
    <w:p>
      <w:pPr>
        <w:spacing w:after="60" w:line="27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El portal dispara las campañas de correo a través de la plataforma de envío por API, con seguimiento de aperturas, clics y registros. Los que se registran o muestran interés avanzan.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5A6673"/>
          <w:sz w:val="20"/>
          <w:szCs w:val="20"/>
        </w:rPr>
        <w:t xml:space="preserve">Herramienta: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6B64"/>
          <w:sz w:val="20"/>
          <w:szCs w:val="20"/>
        </w:rPr>
        <w:t xml:space="preserve">Instantly o Smartlead (frío) · SendGrid/Postmark (confirmaciones de registro)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C7F77"/>
          <w:sz w:val="24"/>
          <w:szCs w:val="24"/>
        </w:rPr>
        <w:t xml:space="preserve">7.  </w:t>
      </w:r>
      <w:r>
        <w:rPr>
          <w:rFonts w:ascii="Calibri" w:cs="Calibri" w:eastAsia="Calibri" w:hAnsi="Calibri"/>
          <w:b/>
          <w:bCs/>
          <w:i w:val="false"/>
          <w:iCs w:val="false"/>
          <w:color w:val="14202B"/>
          <w:sz w:val="23"/>
          <w:szCs w:val="23"/>
        </w:rPr>
        <w:t xml:space="preserve">Entrega al call center</w:t>
      </w:r>
    </w:p>
    <w:p>
      <w:pPr>
        <w:spacing w:after="60" w:line="27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Se genera la lista final de registrados e interesados con su guion y prioridad. El call center confirma asistencia y devuelve el estado de cada contacto (confirmó, no contesta, no interesado, recontactar), que vuelve a la base.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5A6673"/>
          <w:sz w:val="20"/>
          <w:szCs w:val="20"/>
        </w:rPr>
        <w:t xml:space="preserve">Herramienta: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6B64"/>
          <w:sz w:val="20"/>
          <w:szCs w:val="20"/>
        </w:rPr>
        <w:t xml:space="preserve">Export a Google Sheets/CSV o push directo al marcador · sincronización de estados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0C7F77"/>
          <w:spacing w:val="30"/>
          <w:sz w:val="17"/>
          <w:szCs w:val="17"/>
        </w:rPr>
        <w:t xml:space="preserve">STACK RECOMENDADO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4202B"/>
        </w:rPr>
        <w:t xml:space="preserve">Qué herramienta va en cada capa</w:t>
      </w:r>
    </w:p>
    <w:p>
      <w:pPr>
        <w:spacing w:after="120" w:line="27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Enfoque híbrido: un portal a medida ligero que orquesta servicios probados por API. No se reinventa lo que ya existe (enriquecimiento, verificación, envío); se construye solo el pegamento y la interfaz.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200"/>
        <w:gridCol w:w="4140"/>
      </w:tblGrid>
      <w:tr>
        <w:trPr>
          <w:tblHeader/>
        </w:trPr>
        <w:tc>
          <w:tcPr>
            <w:tcW w:type="dxa" w:w="1700"/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2200"/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Recomendación</w:t>
            </w:r>
          </w:p>
        </w:tc>
        <w:tc>
          <w:tcPr>
            <w:tcW w:type="dxa" w:w="2200"/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Alternativas</w:t>
            </w:r>
          </w:p>
        </w:tc>
        <w:tc>
          <w:tcPr>
            <w:tcW w:type="dxa" w:w="4140"/>
            <w:shd w:fill="1420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 qué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02B"/>
                <w:sz w:val="19"/>
                <w:szCs w:val="19"/>
              </w:rPr>
              <w:t xml:space="preserve">Portal (interfaz)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6B64"/>
                <w:sz w:val="19"/>
                <w:szCs w:val="19"/>
              </w:rPr>
              <w:t xml:space="preserve">Next.js (React)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673"/>
                <w:sz w:val="19"/>
                <w:szCs w:val="19"/>
              </w:rPr>
              <w:t xml:space="preserve">Retool (MVP rápido)</w:t>
            </w:r>
          </w:p>
        </w:tc>
        <w:tc>
          <w:tcPr>
            <w:tcW w:type="dxa" w:w="4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Una sola pantalla para todo el equipo; Retool acelera un MVP interno.</w:t>
            </w:r>
          </w:p>
        </w:tc>
      </w:tr>
      <w:tr>
        <w:tc>
          <w:tcPr>
            <w:tcW w:type="dxa" w:w="1700"/>
            <w:shd w:fill="EE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02B"/>
                <w:sz w:val="19"/>
                <w:szCs w:val="19"/>
              </w:rPr>
              <w:t xml:space="preserve">Backend / API</w:t>
            </w:r>
          </w:p>
        </w:tc>
        <w:tc>
          <w:tcPr>
            <w:tcW w:type="dxa" w:w="2200"/>
            <w:shd w:fill="EE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6B64"/>
                <w:sz w:val="19"/>
                <w:szCs w:val="19"/>
              </w:rPr>
              <w:t xml:space="preserve">Node.js o Python</w:t>
            </w:r>
          </w:p>
        </w:tc>
        <w:tc>
          <w:tcPr>
            <w:tcW w:type="dxa" w:w="2200"/>
            <w:shd w:fill="EE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673"/>
                <w:sz w:val="19"/>
                <w:szCs w:val="19"/>
              </w:rPr>
              <w:t xml:space="preserve">—</w:t>
            </w:r>
          </w:p>
        </w:tc>
        <w:tc>
          <w:tcPr>
            <w:tcW w:type="dxa" w:w="4140"/>
            <w:shd w:fill="EE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Corre la lógica de negocio y habla con cada servicio externo.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02B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6B64"/>
                <w:sz w:val="19"/>
                <w:szCs w:val="19"/>
              </w:rPr>
              <w:t xml:space="preserve">PostgreSQL (Supabase)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673"/>
                <w:sz w:val="19"/>
                <w:szCs w:val="19"/>
              </w:rPr>
              <w:t xml:space="preserve">Neon, RDS</w:t>
            </w:r>
          </w:p>
        </w:tc>
        <w:tc>
          <w:tcPr>
            <w:tcW w:type="dxa" w:w="4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Supabase suma auth, storage y API sin montar infraestructura.</w:t>
            </w:r>
          </w:p>
        </w:tc>
      </w:tr>
      <w:tr>
        <w:tc>
          <w:tcPr>
            <w:tcW w:type="dxa" w:w="1700"/>
            <w:shd w:fill="EE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02B"/>
                <w:sz w:val="19"/>
                <w:szCs w:val="19"/>
              </w:rPr>
              <w:t xml:space="preserve">Orquestación / jobs</w:t>
            </w:r>
          </w:p>
        </w:tc>
        <w:tc>
          <w:tcPr>
            <w:tcW w:type="dxa" w:w="2200"/>
            <w:shd w:fill="EE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6B64"/>
                <w:sz w:val="19"/>
                <w:szCs w:val="19"/>
              </w:rPr>
              <w:t xml:space="preserve">n8n o cola de trabajos</w:t>
            </w:r>
          </w:p>
        </w:tc>
        <w:tc>
          <w:tcPr>
            <w:tcW w:type="dxa" w:w="2200"/>
            <w:shd w:fill="EE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673"/>
                <w:sz w:val="19"/>
                <w:szCs w:val="19"/>
              </w:rPr>
              <w:t xml:space="preserve">Temporal, BullMQ</w:t>
            </w:r>
          </w:p>
        </w:tc>
        <w:tc>
          <w:tcPr>
            <w:tcW w:type="dxa" w:w="4140"/>
            <w:shd w:fill="EE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Encadena las etapas y reintenta lo que falla, sin bloquear la app.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02B"/>
                <w:sz w:val="19"/>
                <w:szCs w:val="19"/>
              </w:rPr>
              <w:t xml:space="preserve">Fuentes de datos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6B64"/>
                <w:sz w:val="19"/>
                <w:szCs w:val="19"/>
              </w:rPr>
              <w:t xml:space="preserve">Apollo API + CSV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673"/>
                <w:sz w:val="19"/>
                <w:szCs w:val="19"/>
              </w:rPr>
              <w:t xml:space="preserve">Cognism, Lusha</w:t>
            </w:r>
          </w:p>
        </w:tc>
        <w:tc>
          <w:tcPr>
            <w:tcW w:type="dxa" w:w="4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Prospección y enriquecimiento en un mismo proveedor.</w:t>
            </w:r>
          </w:p>
        </w:tc>
      </w:tr>
      <w:tr>
        <w:tc>
          <w:tcPr>
            <w:tcW w:type="dxa" w:w="1700"/>
            <w:shd w:fill="EE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02B"/>
                <w:sz w:val="19"/>
                <w:szCs w:val="19"/>
              </w:rPr>
              <w:t xml:space="preserve">Verificación de correo</w:t>
            </w:r>
          </w:p>
        </w:tc>
        <w:tc>
          <w:tcPr>
            <w:tcW w:type="dxa" w:w="2200"/>
            <w:shd w:fill="EE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6B64"/>
                <w:sz w:val="19"/>
                <w:szCs w:val="19"/>
              </w:rPr>
              <w:t xml:space="preserve">NeverBounce / MillionVerifier</w:t>
            </w:r>
          </w:p>
        </w:tc>
        <w:tc>
          <w:tcPr>
            <w:tcW w:type="dxa" w:w="2200"/>
            <w:shd w:fill="EE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673"/>
                <w:sz w:val="19"/>
                <w:szCs w:val="19"/>
              </w:rPr>
              <w:t xml:space="preserve">ZeroBounce, Bouncer</w:t>
            </w:r>
          </w:p>
        </w:tc>
        <w:tc>
          <w:tcPr>
            <w:tcW w:type="dxa" w:w="4140"/>
            <w:shd w:fill="EE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Reduce rebotes y protege la reputación de envío.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02B"/>
                <w:sz w:val="19"/>
                <w:szCs w:val="19"/>
              </w:rPr>
              <w:t xml:space="preserve">Mailing en frío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6B64"/>
                <w:sz w:val="19"/>
                <w:szCs w:val="19"/>
              </w:rPr>
              <w:t xml:space="preserve">Instantly / Smartlead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673"/>
                <w:sz w:val="19"/>
                <w:szCs w:val="19"/>
              </w:rPr>
              <w:t xml:space="preserve">lemlist</w:t>
            </w:r>
          </w:p>
        </w:tc>
        <w:tc>
          <w:tcPr>
            <w:tcW w:type="dxa" w:w="4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Rotación de buzones y warmup para escalar sin caer en spam.</w:t>
            </w:r>
          </w:p>
        </w:tc>
      </w:tr>
      <w:tr>
        <w:tc>
          <w:tcPr>
            <w:tcW w:type="dxa" w:w="1700"/>
            <w:shd w:fill="EE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02B"/>
                <w:sz w:val="19"/>
                <w:szCs w:val="19"/>
              </w:rPr>
              <w:t xml:space="preserve">Correo transaccional</w:t>
            </w:r>
          </w:p>
        </w:tc>
        <w:tc>
          <w:tcPr>
            <w:tcW w:type="dxa" w:w="2200"/>
            <w:shd w:fill="EE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6B64"/>
                <w:sz w:val="19"/>
                <w:szCs w:val="19"/>
              </w:rPr>
              <w:t xml:space="preserve">SendGrid / Postmark</w:t>
            </w:r>
          </w:p>
        </w:tc>
        <w:tc>
          <w:tcPr>
            <w:tcW w:type="dxa" w:w="2200"/>
            <w:shd w:fill="EE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673"/>
                <w:sz w:val="19"/>
                <w:szCs w:val="19"/>
              </w:rPr>
              <w:t xml:space="preserve">Mailgun, SES</w:t>
            </w:r>
          </w:p>
        </w:tc>
        <w:tc>
          <w:tcPr>
            <w:tcW w:type="dxa" w:w="4140"/>
            <w:shd w:fill="EE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Confirmaciones de registro y recordatorios con alta entrega.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02B"/>
                <w:sz w:val="19"/>
                <w:szCs w:val="19"/>
              </w:rPr>
              <w:t xml:space="preserve">Entrega a call center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6B64"/>
                <w:sz w:val="19"/>
                <w:szCs w:val="19"/>
              </w:rPr>
              <w:t xml:space="preserve">Google Sheets / CSV + API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673"/>
                <w:sz w:val="19"/>
                <w:szCs w:val="19"/>
              </w:rPr>
              <w:t xml:space="preserve">Push al marcador (dialer)</w:t>
            </w:r>
          </w:p>
        </w:tc>
        <w:tc>
          <w:tcPr>
            <w:tcW w:type="dxa" w:w="4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Formato que el call center ya usa; los estados regresan al portal.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b w:val="false"/>
          <w:bCs w:val="false"/>
          <w:i/>
          <w:iCs/>
          <w:color w:val="5A6673"/>
          <w:sz w:val="19"/>
          <w:szCs w:val="19"/>
        </w:rPr>
        <w:t xml:space="preserve">Costos aproximados (ago 2026, confirmar al contratar): Apollo desde ~USD $99/usuario/mes · verificación ~$0.003–0.008 por correo · Instantly/Smartlead ~$97–297/mes + dominios y buzones · Supabase ~$25/mes · Retool/n8n ~$0–50/mes.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0C7F77"/>
          <w:spacing w:val="30"/>
          <w:sz w:val="17"/>
          <w:szCs w:val="17"/>
        </w:rPr>
        <w:t xml:space="preserve">DATOS Y AUTOMATIZACIÓN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4202B"/>
        </w:rPr>
        <w:t xml:space="preserve">El modelo de datos y los procesos que lo sostienen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A6B64"/>
        </w:rPr>
        <w:t xml:space="preserve">Entidades centrales de la base</w:t>
      </w:r>
    </w:p>
    <w:p>
      <w:pPr>
        <w:spacing w:after="120" w:line="278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4202B"/>
          <w:sz w:val="22"/>
          <w:szCs w:val="22"/>
        </w:rPr>
        <w:t xml:space="preserve">Contactos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 (persona + estado) · </w:t>
      </w:r>
      <w:r>
        <w:rPr>
          <w:rFonts w:ascii="Calibri" w:cs="Calibri" w:eastAsia="Calibri" w:hAnsi="Calibri"/>
          <w:b/>
          <w:bCs/>
          <w:i w:val="false"/>
          <w:iCs w:val="false"/>
          <w:color w:val="14202B"/>
          <w:sz w:val="22"/>
          <w:szCs w:val="22"/>
        </w:rPr>
        <w:t xml:space="preserve">Empresas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 · </w:t>
      </w:r>
      <w:r>
        <w:rPr>
          <w:rFonts w:ascii="Calibri" w:cs="Calibri" w:eastAsia="Calibri" w:hAnsi="Calibri"/>
          <w:b/>
          <w:bCs/>
          <w:i w:val="false"/>
          <w:iCs w:val="false"/>
          <w:color w:val="14202B"/>
          <w:sz w:val="22"/>
          <w:szCs w:val="22"/>
        </w:rPr>
        <w:t xml:space="preserve">Campañas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 de correo · </w:t>
      </w:r>
      <w:r>
        <w:rPr>
          <w:rFonts w:ascii="Calibri" w:cs="Calibri" w:eastAsia="Calibri" w:hAnsi="Calibri"/>
          <w:b/>
          <w:bCs/>
          <w:i w:val="false"/>
          <w:iCs w:val="false"/>
          <w:color w:val="14202B"/>
          <w:sz w:val="22"/>
          <w:szCs w:val="22"/>
        </w:rPr>
        <w:t xml:space="preserve">Eventos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 · </w:t>
      </w:r>
      <w:r>
        <w:rPr>
          <w:rFonts w:ascii="Calibri" w:cs="Calibri" w:eastAsia="Calibri" w:hAnsi="Calibri"/>
          <w:b/>
          <w:bCs/>
          <w:i w:val="false"/>
          <w:iCs w:val="false"/>
          <w:color w:val="14202B"/>
          <w:sz w:val="22"/>
          <w:szCs w:val="22"/>
        </w:rPr>
        <w:t xml:space="preserve">Listas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 (segmentos entregados) · </w:t>
      </w:r>
      <w:r>
        <w:rPr>
          <w:rFonts w:ascii="Calibri" w:cs="Calibri" w:eastAsia="Calibri" w:hAnsi="Calibri"/>
          <w:b/>
          <w:bCs/>
          <w:i w:val="false"/>
          <w:iCs w:val="false"/>
          <w:color w:val="14202B"/>
          <w:sz w:val="22"/>
          <w:szCs w:val="22"/>
        </w:rPr>
        <w:t xml:space="preserve">Interacciones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 (aperturas, clics, registros, resultado de llamada). Todo enlazado por contacto.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A6B64"/>
        </w:rPr>
        <w:t xml:space="preserve">Procesos clave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02B"/>
          <w:sz w:val="22"/>
          <w:szCs w:val="22"/>
        </w:rPr>
        <w:t xml:space="preserve">Deduplicación y lista de supresión: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nunca se contacta dos veces al mismo prospecto ni a quien pidió no ser contactado; la supresión se aplica automáticamente antes de cada envío.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02B"/>
          <w:sz w:val="22"/>
          <w:szCs w:val="22"/>
        </w:rPr>
        <w:t xml:space="preserve">Verificación previa obligatoria: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ningún correo sale sin pasar por verificación; solo se envía a direcciones válidas.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02B"/>
          <w:sz w:val="22"/>
          <w:szCs w:val="22"/>
        </w:rPr>
        <w:t xml:space="preserve">Warmup y rotación de buzones: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para volumen medio-alto en frío se usan dominios de envío secundarios (no el corporativo), calentados y rotados.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02B"/>
          <w:sz w:val="22"/>
          <w:szCs w:val="22"/>
        </w:rPr>
        <w:t xml:space="preserve">Ciclo de retroalimentación: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los estados que devuelve el call center regresan a la base y alimentan el scoring y la supresión de los siguientes eventos.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0C7F77"/>
          <w:spacing w:val="30"/>
          <w:sz w:val="17"/>
          <w:szCs w:val="17"/>
        </w:rPr>
        <w:t xml:space="preserve">ROADMAP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4202B"/>
        </w:rPr>
        <w:t xml:space="preserve">Cómo construirlo por fases</w:t>
      </w:r>
    </w:p>
    <w:p>
      <w:pPr>
        <w:spacing w:after="120" w:line="27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Cada fase entrega valor por sí sola. Se puede empezar a operar desde la Fase 1 mientras se construye el resto.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C7F77"/>
          <w:sz w:val="20"/>
          <w:szCs w:val="20"/>
        </w:rPr>
        <w:t xml:space="preserve">FASE 1 · MVP  </w:t>
      </w:r>
      <w:r>
        <w:rPr>
          <w:rFonts w:ascii="Calibri" w:cs="Calibri" w:eastAsia="Calibri" w:hAnsi="Calibri"/>
          <w:b w:val="false"/>
          <w:bCs w:val="false"/>
          <w:i/>
          <w:iCs/>
          <w:color w:val="5A6673"/>
          <w:sz w:val="19"/>
          <w:szCs w:val="19"/>
        </w:rPr>
        <w:t xml:space="preserve">· ~3–5 semanas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4202B"/>
          <w:sz w:val="22"/>
          <w:szCs w:val="22"/>
        </w:rPr>
        <w:t xml:space="preserve">Base operativa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Portal con login y carga de CSV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Normalización y deduplicación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Verificación de correo por API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Export de lista al call center + captura de estados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C7F77"/>
          <w:sz w:val="20"/>
          <w:szCs w:val="20"/>
        </w:rPr>
        <w:t xml:space="preserve">FASE 2 · DATOS  </w:t>
      </w:r>
      <w:r>
        <w:rPr>
          <w:rFonts w:ascii="Calibri" w:cs="Calibri" w:eastAsia="Calibri" w:hAnsi="Calibri"/>
          <w:b w:val="false"/>
          <w:bCs w:val="false"/>
          <w:i/>
          <w:iCs/>
          <w:color w:val="5A6673"/>
          <w:sz w:val="19"/>
          <w:szCs w:val="19"/>
        </w:rPr>
        <w:t xml:space="preserve">· ~3–4 semanas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4202B"/>
          <w:sz w:val="22"/>
          <w:szCs w:val="22"/>
        </w:rPr>
        <w:t xml:space="preserve">Prospección y enriquecimiento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Conexión con Apollo API (jalar bases)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Enriquecimiento automático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Reglas de ICP y scoring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Gestión de segmentos y listas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C7F77"/>
          <w:sz w:val="20"/>
          <w:szCs w:val="20"/>
        </w:rPr>
        <w:t xml:space="preserve">FASE 3 · ENVÍO  </w:t>
      </w:r>
      <w:r>
        <w:rPr>
          <w:rFonts w:ascii="Calibri" w:cs="Calibri" w:eastAsia="Calibri" w:hAnsi="Calibri"/>
          <w:b w:val="false"/>
          <w:bCs w:val="false"/>
          <w:i/>
          <w:iCs/>
          <w:color w:val="5A6673"/>
          <w:sz w:val="19"/>
          <w:szCs w:val="19"/>
        </w:rPr>
        <w:t xml:space="preserve">· ~3–4 semanas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4202B"/>
          <w:sz w:val="22"/>
          <w:szCs w:val="22"/>
        </w:rPr>
        <w:t xml:space="preserve">Mailing integrado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Integración con Instantly/Smartlead y ESP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Disparo de campañas desde el portal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Seguimiento de aperturas, clics y registros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Dominios de envío, warmup y supresión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C7F77"/>
          <w:sz w:val="20"/>
          <w:szCs w:val="20"/>
        </w:rPr>
        <w:t xml:space="preserve">FASE 4 · ESCALA  </w:t>
      </w:r>
      <w:r>
        <w:rPr>
          <w:rFonts w:ascii="Calibri" w:cs="Calibri" w:eastAsia="Calibri" w:hAnsi="Calibri"/>
          <w:b w:val="false"/>
          <w:bCs w:val="false"/>
          <w:i/>
          <w:iCs/>
          <w:color w:val="5A6673"/>
          <w:sz w:val="19"/>
          <w:szCs w:val="19"/>
        </w:rPr>
        <w:t xml:space="preserve">· continuo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4202B"/>
          <w:sz w:val="22"/>
          <w:szCs w:val="22"/>
        </w:rPr>
        <w:t xml:space="preserve">Automatización y reporting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Orquestación de extremo a extremo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Panel por evento (asistencia proyectada vs. real)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Ciclo de retroalimentación del call center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Multi-cliente / multi-evento</w:t>
      </w:r>
    </w:p>
    <w:p>
      <w:pPr>
        <w:pBdr>
          <w:top w:val="single" w:color="A9741E" w:sz="4"/>
          <w:bottom w:val="single" w:color="A9741E" w:sz="4"/>
          <w:left w:val="single" w:color="A9741E" w:sz="14"/>
          <w:right w:val="single" w:color="A9741E" w:sz="4"/>
        </w:pBdr>
        <w:shd w:fill="FBF3E3" w:color="auto" w:val="clear"/>
        <w:spacing w:after="6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A9741E"/>
          <w:sz w:val="19"/>
          <w:szCs w:val="19"/>
        </w:rPr>
        <w:t xml:space="preserve">CUMPLIMIENTO Y ENTREGABILIDAD — NO NEGOCIABLE</w:t>
      </w:r>
    </w:p>
    <w:p>
      <w:pPr>
        <w:spacing w:after="120" w:line="27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0"/>
          <w:szCs w:val="20"/>
        </w:rPr>
        <w:t xml:space="preserve">Manejar datos de personas en México exige apego a la LFPDPPP: aviso de privacidad, base legítima para contactar y un mecanismo de baja real en cada correo. Para contactos en Europa aplica además el GDPR.</w:t>
      </w:r>
    </w:p>
    <w:p>
      <w:pPr>
        <w:spacing w:after="120" w:line="27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0"/>
          <w:szCs w:val="20"/>
        </w:rPr>
        <w:t xml:space="preserve">En lo técnico: configurar SPF, DKIM y DMARC en los dominios de envío, respetar los límites de la API de Apollo (su licencia restringe reventa y exportaciones masivas) y calentar los buzones antes de enviar en volumen. Esto separa un motor que llena eventos de uno que termina en spam.</w:t>
      </w:r>
    </w:p>
    <w:p>
      <w:pPr>
        <w:spacing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4202B"/>
          <w:sz w:val="22"/>
          <w:szCs w:val="22"/>
        </w:rPr>
        <w:t xml:space="preserve">Siguiente paso sugerido: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E"/>
          <w:sz w:val="22"/>
          <w:szCs w:val="22"/>
        </w:rPr>
        <w:t xml:space="preserve">aterrizar la Fase 1 en un alcance detallado (pantallas, campos de la base y formato exacto de entrega al call center) para cotizar el desarrollo.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6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Motor de Demanda — Arquitectura</dc:title>
  <dc:creator>chefready4</dc:creator>
  <cp:lastModifiedBy>Un-named</cp:lastModifiedBy>
  <cp:revision>1</cp:revision>
  <dcterms:created xsi:type="dcterms:W3CDTF">2026-08-31T23:30:26.604Z</dcterms:created>
  <dcterms:modified xsi:type="dcterms:W3CDTF">2026-08-31T23:30:26.604Z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