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both"/>
      </w:pPr>
      <w:r>
        <w:rPr>
          <w:rFonts w:ascii="Times New Roman" w:cs="Times New Roman" w:eastAsia="Times New Roman" w:hAnsi="Times New Roman"/>
          <w:sz w:val="22"/>
          <w:szCs w:val="22"/>
        </w:rPr>
        <w:t xml:space="preserve"/>
      </w:r>
    </w:p>
    <w:p>
      <w:pPr>
        <w:spacing w:after="40" w:before="0" w:line="276"/>
        <w:jc w:val="center"/>
      </w:pPr>
      <w:r>
        <w:rPr>
          <w:rFonts w:ascii="Times New Roman" w:cs="Times New Roman" w:eastAsia="Times New Roman" w:hAnsi="Times New Roman"/>
          <w:b/>
          <w:bCs/>
          <w:sz w:val="32"/>
          <w:szCs w:val="32"/>
        </w:rPr>
        <w:t xml:space="preserve">Project Phantom</w:t>
      </w:r>
    </w:p>
    <w:p>
      <w:pPr>
        <w:spacing w:after="40" w:before="0" w:line="276"/>
        <w:jc w:val="center"/>
      </w:pPr>
      <w:r>
        <w:rPr>
          <w:rFonts w:ascii="Times New Roman" w:cs="Times New Roman" w:eastAsia="Times New Roman" w:hAnsi="Times New Roman"/>
          <w:b/>
          <w:bCs/>
          <w:sz w:val="26"/>
          <w:szCs w:val="26"/>
        </w:rPr>
        <w:t xml:space="preserve">Ethical, Security, and Governance Challenges of Deepfake Technology</w:t>
      </w:r>
    </w:p>
    <w:p>
      <w:pPr>
        <w:spacing w:after="120" w:before="0" w:line="276"/>
        <w:jc w:val="center"/>
      </w:pPr>
      <w:r>
        <w:rPr>
          <w:rFonts w:ascii="Times New Roman" w:cs="Times New Roman" w:eastAsia="Times New Roman" w:hAnsi="Times New Roman"/>
          <w:b/>
          <w:bCs/>
          <w:sz w:val="26"/>
          <w:szCs w:val="26"/>
        </w:rPr>
        <w:t xml:space="preserve">in the Era of Generative Artificial Intelligence</w:t>
      </w:r>
    </w:p>
    <w:p>
      <w:pPr>
        <w:spacing w:after="40" w:before="0" w:line="276"/>
        <w:jc w:val="center"/>
      </w:pPr>
      <w:r>
        <w:rPr>
          <w:rFonts w:ascii="Times New Roman" w:cs="Times New Roman" w:eastAsia="Times New Roman" w:hAnsi="Times New Roman"/>
          <w:b/>
          <w:bCs/>
          <w:sz w:val="22"/>
          <w:szCs w:val="22"/>
        </w:rPr>
        <w:t xml:space="preserve">Walther Del Orbe  ·  Nawaz Syed  ·  Kwaku Dei Amoani  ·  Gwendolyn Vongkasemsiri</w:t>
      </w:r>
    </w:p>
    <w:p>
      <w:pPr>
        <w:spacing w:after="40" w:before="0" w:line="276"/>
        <w:jc w:val="center"/>
      </w:pPr>
      <w:r>
        <w:rPr>
          <w:rFonts w:ascii="Times New Roman" w:cs="Times New Roman" w:eastAsia="Times New Roman" w:hAnsi="Times New Roman"/>
          <w:sz w:val="22"/>
          <w:szCs w:val="22"/>
        </w:rPr>
        <w:t xml:space="preserve">The Beacom College of Computer and Cyber Sciences</w:t>
      </w:r>
    </w:p>
    <w:p>
      <w:pPr>
        <w:spacing w:after="200" w:before="0" w:line="276"/>
        <w:jc w:val="center"/>
      </w:pPr>
      <w:r>
        <w:rPr>
          <w:rFonts w:ascii="Times New Roman" w:cs="Times New Roman" w:eastAsia="Times New Roman" w:hAnsi="Times New Roman"/>
          <w:sz w:val="22"/>
          <w:szCs w:val="22"/>
        </w:rPr>
        <w:t xml:space="preserve">Dakota State University  |  Madison, SD,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6"/>
              <w:left w:val="single" w:color="2C5F8A" w:sz="6"/>
              <w:bottom w:val="single" w:color="2C5F8A" w:sz="6"/>
              <w:right w:val="single" w:color="2C5F8A" w:sz="6"/>
            </w:tcBorders>
            <w:shd w:fill="D6E8F5" w:val="clear"/>
            <w:tcMar>
              <w:top w:type="dxa" w:w="160"/>
              <w:left w:type="dxa" w:w="240"/>
              <w:bottom w:type="dxa" w:w="160"/>
              <w:right w:type="dxa" w:w="240"/>
            </w:tcMar>
          </w:tcPr>
          <w:p>
            <w:pPr>
              <w:spacing w:after="80" w:before="0" w:line="276"/>
              <w:jc w:val="left"/>
            </w:pPr>
            <w:r>
              <w:rPr>
                <w:rFonts w:ascii="Times New Roman" w:cs="Times New Roman" w:eastAsia="Times New Roman" w:hAnsi="Times New Roman"/>
                <w:b/>
                <w:bCs/>
                <w:sz w:val="22"/>
                <w:szCs w:val="22"/>
              </w:rPr>
              <w:t xml:space="preserve">Abstract  </w:t>
            </w:r>
            <w:r>
              <w:rPr>
                <w:rFonts w:ascii="Times New Roman" w:cs="Times New Roman" w:eastAsia="Times New Roman" w:hAnsi="Times New Roman"/>
                <w:sz w:val="22"/>
                <w:szCs w:val="22"/>
              </w:rPr>
              <w:t xml:space="preserve">Deepfake technologies enabled by generative artificial intelligence are rapidly transforming digital media creation and manipulation. These technologies leverage Generative Adversarial Networks (GANs), diffusion models, and transformer-based architectures to produce highly realistic synthetic audio, video, and images that convincingly mimic authentic content. While these tools offer measurable benefits in education, accessibility, and creative industries, they simultaneously introduce substantial risks — including large-scale misinformation, identity impersonation, financial fraud, and the erosion of public trust in digital communication. This research examines deepfake technologies through three interconnected lenses: ethical implications, cybersecurity threats, and governance challenges. Through a structured literature review spanning 2021–2026 and a comparative analysis of detection techniques and policy frameworks across jurisdictions, we identify critical gaps in existing mitigation approaches. Our findings demonstrate that: (1) detection methods are consistently outpaced by advances in generative modeling; (2) legal frameworks remain fragmented and jurisdiction-specific; and (3) effective governance requires integrated technical, ethical, and policy responses. This paper contributes a synthesized multi-dimensional analysis intended to guide responsible development, deployment, and regulation of generative AI systems. The project repository — including documentation, literature review materials, and supplementary analysis — is publicly accessible at the DSU SharePoint link provided in Section 3.</w:t>
            </w:r>
          </w:p>
        </w:tc>
      </w:tr>
    </w:tbl>
    <w:p>
      <w:pPr>
        <w:spacing w:after="160" w:before="0" w:line="276"/>
        <w:jc w:val="both"/>
      </w:pPr>
      <w:r>
        <w:rPr>
          <w:rFonts w:ascii="Times New Roman" w:cs="Times New Roman" w:eastAsia="Times New Roman" w:hAnsi="Times New Roman"/>
          <w:sz w:val="22"/>
          <w:szCs w:val="22"/>
        </w:rPr>
        <w:t xml:space="preserve"/>
      </w:r>
    </w:p>
    <w:p>
      <w:pPr>
        <w:pStyle w:val="Heading1"/>
      </w:pPr>
      <w:r>
        <w:rPr>
          <w:rFonts w:ascii="Times New Roman" w:cs="Times New Roman" w:eastAsia="Times New Roman" w:hAnsi="Times New Roman"/>
          <w:b/>
          <w:bCs/>
        </w:rPr>
        <w:t xml:space="preserve">1  Introduction</w:t>
      </w:r>
    </w:p>
    <w:p>
      <w:pPr>
        <w:spacing w:after="160" w:before="0" w:line="276"/>
        <w:jc w:val="both"/>
      </w:pPr>
      <w:r>
        <w:rPr>
          <w:rFonts w:ascii="Times New Roman" w:cs="Times New Roman" w:eastAsia="Times New Roman" w:hAnsi="Times New Roman"/>
          <w:sz w:val="22"/>
          <w:szCs w:val="22"/>
        </w:rPr>
        <w:t xml:space="preserve">Recent advances in artificial intelligence have fundamentally altered the landscape of digital media creation. Generative models — including Generative Adversarial Networks (GANs), diffusion models, and transformer-based architectures — now enable the production of synthetic media nearly indistinguishable from authentic recordings. These synthetic outputs, commonly termed deepfakes, encompass manipulated images, videos, and audio that replicate real individuals' faces, voices, and behavioral characteristics with striking verisimilitude.</w:t>
      </w:r>
    </w:p>
    <w:p>
      <w:pPr>
        <w:spacing w:after="160" w:before="0" w:line="276"/>
        <w:jc w:val="both"/>
      </w:pPr>
      <w:r>
        <w:rPr>
          <w:rFonts w:ascii="Times New Roman" w:cs="Times New Roman" w:eastAsia="Times New Roman" w:hAnsi="Times New Roman"/>
          <w:sz w:val="22"/>
          <w:szCs w:val="22"/>
        </w:rPr>
        <w:t xml:space="preserve">The proliferation of deepfake tools presents a dual-use challenge. On one hand, these capabilities drive innovation in film production, virtual education, medical simulation, and accessibility tools for individuals with disabilities. On the other, they are exploited for political disinformation, financial fraud, non-consensual intimate imagery, and large-scale identity impersonation. Open-source frameworks such as Stable Diffusion, StyleGAN variants, and numerous face-swap applications have reduced the technical barrier for malicious actors to near zero, decoupling harmful capability from technical expertise and creating an unprecedented asymmetry between the cost of creating a convincing deepfake and the severity of its societal consequences.</w:t>
      </w:r>
    </w:p>
    <w:p>
      <w:pPr>
        <w:spacing w:after="160" w:before="0" w:line="276"/>
        <w:jc w:val="both"/>
      </w:pPr>
      <w:r>
        <w:rPr>
          <w:rFonts w:ascii="Times New Roman" w:cs="Times New Roman" w:eastAsia="Times New Roman" w:hAnsi="Times New Roman"/>
          <w:sz w:val="22"/>
          <w:szCs w:val="22"/>
        </w:rPr>
        <w:t xml:space="preserve">Digital trust — underpinning modern communication, financial systems, and democratic processes — is increasingly threatened by synthetic media. Traditional authenticity verification mechanisms such as visual inspection, metadata review, and trusted-source evaluation are becoming insufficient against AI-generated content. The "liar's dividend" further complicates matters: as deepfakes proliferate, even genuine recordings may be dismissed as fabrications, eroding confidence in authentic evidence and undermining accountability in legal, journalistic, and political contexts.</w:t>
      </w:r>
    </w:p>
    <w:p>
      <w:pPr>
        <w:spacing w:after="160" w:before="0" w:line="276"/>
        <w:jc w:val="both"/>
      </w:pPr>
      <w:r>
        <w:rPr>
          <w:rFonts w:ascii="Times New Roman" w:cs="Times New Roman" w:eastAsia="Times New Roman" w:hAnsi="Times New Roman"/>
          <w:sz w:val="22"/>
          <w:szCs w:val="22"/>
        </w:rPr>
        <w:t xml:space="preserve">This study examines the deepfake challenge across three primary dimensions: (1) ethical implications — consent, identity ownership, fairness in detection systems, and psychological harm; (2) cybersecurity and fraud risks — including documented attack typologies and effectiveness of current detection approaches; and (3) governance frameworks and mitigation strategies — identifying gaps and providing recommendations spanning technical, legal, and policy domains. The goal is to synthesize current knowledge across these dimensions and provide actionable insights for researchers, practitioners, and policymakers. The remainder of this paper is organized as follows: Section 2 reviews related literature; Section 3 states the research questions; Section 4 describes the methodology and project repository; Sections 5 and 6 present findings on cybersecurity risks and detection techniques; Section 7 reviews governance approaches; Section 8 addresses ethical considerations; Section 9 discusses limitations; Section 10 presents the discussion and findings addressing each research question; and Section 11 concludes the paper.</w:t>
      </w:r>
    </w:p>
    <w:p>
      <w:pPr>
        <w:pStyle w:val="Heading1"/>
      </w:pPr>
      <w:r>
        <w:rPr>
          <w:rFonts w:ascii="Times New Roman" w:cs="Times New Roman" w:eastAsia="Times New Roman" w:hAnsi="Times New Roman"/>
          <w:b/>
          <w:bCs/>
        </w:rPr>
        <w:t xml:space="preserve">2  Related Work</w:t>
      </w:r>
    </w:p>
    <w:p>
      <w:pPr>
        <w:spacing w:after="160" w:before="0" w:line="276"/>
        <w:jc w:val="both"/>
      </w:pPr>
      <w:r>
        <w:rPr>
          <w:rFonts w:ascii="Times New Roman" w:cs="Times New Roman" w:eastAsia="Times New Roman" w:hAnsi="Times New Roman"/>
          <w:sz w:val="22"/>
          <w:szCs w:val="22"/>
        </w:rPr>
        <w:t xml:space="preserve">The literature on deepfake technologies spans computer vision, natural language processing, cybersecurity, ethics, and law. This section reviews the most relevant recent contributions across four sub-domains and positions the present work relative to each body of research. Where existing studies provide foundational knowledge, this paper extends their synthesis; where they reveal gaps, this paper explicitly addresses them.</w:t>
      </w:r>
    </w:p>
    <w:p>
      <w:pPr>
        <w:pStyle w:val="Heading2"/>
      </w:pPr>
      <w:r>
        <w:rPr>
          <w:rFonts w:ascii="Times New Roman" w:cs="Times New Roman" w:eastAsia="Times New Roman" w:hAnsi="Times New Roman"/>
          <w:b/>
          <w:bCs/>
        </w:rPr>
        <w:t xml:space="preserve">2.1  Deepfake Detection Methods</w:t>
      </w:r>
    </w:p>
    <w:p>
      <w:pPr>
        <w:spacing w:after="160" w:before="0" w:line="276"/>
        <w:jc w:val="both"/>
      </w:pPr>
      <w:r>
        <w:rPr>
          <w:rFonts w:ascii="Times New Roman" w:cs="Times New Roman" w:eastAsia="Times New Roman" w:hAnsi="Times New Roman"/>
          <w:sz w:val="22"/>
          <w:szCs w:val="22"/>
        </w:rPr>
        <w:t xml:space="preserve">Khan et al. (2025) provide a comprehensive review of adversarially robust deepfake detection systems, demonstrating that no single detection method achieves robust performance across all modalities. Their categorization of detection approaches into visual artifact analysis, biological signal detection, and neural network-based classifiers forms the basis of the comparative framework in Table 2 of this paper, which this study extends with two additional evaluation dimensions: adversarial robustness and real-time deployment feasibility. Soundarya and Gururaj (2026) show that detection models trained on GAN-generated media fail substantially against diffusion-based synthetic content, underscoring the need for architecture-agnostic approaches — a finding this paper incorporates into its governance recommendations by calling for adaptive regulatory mechanisms that parallel technical evolution.</w:t>
      </w:r>
    </w:p>
    <w:p>
      <w:pPr>
        <w:spacing w:after="160" w:before="0" w:line="276"/>
        <w:jc w:val="both"/>
      </w:pPr>
      <w:r>
        <w:rPr>
          <w:rFonts w:ascii="Times New Roman" w:cs="Times New Roman" w:eastAsia="Times New Roman" w:hAnsi="Times New Roman"/>
          <w:sz w:val="22"/>
          <w:szCs w:val="22"/>
        </w:rPr>
        <w:t xml:space="preserve">Gong and Li (2024) identify dataset bias as a primary limitation, noting that most benchmark datasets are constructed under controlled conditions that do not reflect real-world deepfake distribution, thereby inflating reported accuracy metrics. Liu et al. (2025) demonstrate that diffusion models produce fewer detectable visual artifacts than GANs, posing fundamental challenges for pixel-level detection. Lin et al. (2025) find significant performance degradation when detection models are deployed outside their training distribution, emphasizing the need for ecologically valid evaluation protocols. Doloriel et al. (2025) propose frequency-domain masking for improved cross-architecture generalization, demonstrating that spectral features substantially outperform pixel-level features when evaluated across multiple generation paradigms — the strongest single result reported in the reviewed literature for detection generalization.</w:t>
      </w:r>
    </w:p>
    <w:p>
      <w:pPr>
        <w:pStyle w:val="Heading2"/>
      </w:pPr>
      <w:r>
        <w:rPr>
          <w:rFonts w:ascii="Times New Roman" w:cs="Times New Roman" w:eastAsia="Times New Roman" w:hAnsi="Times New Roman"/>
          <w:b/>
          <w:bCs/>
        </w:rPr>
        <w:t xml:space="preserve">2.2  Societal and Psychological Impact</w:t>
      </w:r>
    </w:p>
    <w:p>
      <w:pPr>
        <w:spacing w:after="160" w:before="0" w:line="276"/>
        <w:jc w:val="both"/>
      </w:pPr>
      <w:r>
        <w:rPr>
          <w:rFonts w:ascii="Times New Roman" w:cs="Times New Roman" w:eastAsia="Times New Roman" w:hAnsi="Times New Roman"/>
          <w:sz w:val="22"/>
          <w:szCs w:val="22"/>
        </w:rPr>
        <w:t xml:space="preserve">Farid (2025) argues that deepfake technologies pose a systemic threat to public trust in journalism and democratic institutions, and that technological countermeasures alone are insufficient without complementary policy frameworks. This paper directly incorporates this argument into Section 6 by advocating for multi-stakeholder accountability structures rather than purely technical solutions. Clark and Lewandowsky (2026) demonstrate the "continued influence effect" — AI-generated deepfake videos continue to shape viewer beliefs even when explicit authenticity warnings are provided — challenging assumptions that disclosure alone can mitigate persuasive impact. Their findings are connected in Section 8 of this paper to the ethical analysis of the liar's dividend.</w:t>
      </w:r>
    </w:p>
    <w:p>
      <w:pPr>
        <w:pStyle w:val="Heading2"/>
      </w:pPr>
      <w:r>
        <w:rPr>
          <w:rFonts w:ascii="Times New Roman" w:cs="Times New Roman" w:eastAsia="Times New Roman" w:hAnsi="Times New Roman"/>
          <w:b/>
          <w:bCs/>
        </w:rPr>
        <w:t xml:space="preserve">2.3  Linguistic and Multimodal Detection</w:t>
      </w:r>
    </w:p>
    <w:p>
      <w:pPr>
        <w:spacing w:after="160" w:before="0" w:line="276"/>
        <w:jc w:val="both"/>
      </w:pPr>
      <w:r>
        <w:rPr>
          <w:rFonts w:ascii="Times New Roman" w:cs="Times New Roman" w:eastAsia="Times New Roman" w:hAnsi="Times New Roman"/>
          <w:sz w:val="22"/>
          <w:szCs w:val="22"/>
        </w:rPr>
        <w:t xml:space="preserve">Martinek (2025) demonstrates that linguistic patterns — including urgency markers, inconsistent authority claims, and syntactic anomalies — serve as useful signals for identifying manipulated media in transcript-based analysis. Singh et al. (2025) show that multimodal approaches combining visual, audio, and metadata signals consistently outperform single-modality systems, though computational overhead limits real-time deployment feasibility. This tension between accuracy and deployability is a central theme in the detection analysis of Section 6.</w:t>
      </w:r>
    </w:p>
    <w:p>
      <w:pPr>
        <w:pStyle w:val="Heading2"/>
      </w:pPr>
      <w:r>
        <w:rPr>
          <w:rFonts w:ascii="Times New Roman" w:cs="Times New Roman" w:eastAsia="Times New Roman" w:hAnsi="Times New Roman"/>
          <w:b/>
          <w:bCs/>
        </w:rPr>
        <w:t xml:space="preserve">2.4  Governance and Legal Frameworks</w:t>
      </w:r>
    </w:p>
    <w:p>
      <w:pPr>
        <w:spacing w:after="160" w:before="0" w:line="276"/>
        <w:jc w:val="both"/>
      </w:pPr>
      <w:r>
        <w:rPr>
          <w:rFonts w:ascii="Times New Roman" w:cs="Times New Roman" w:eastAsia="Times New Roman" w:hAnsi="Times New Roman"/>
          <w:sz w:val="22"/>
          <w:szCs w:val="22"/>
        </w:rPr>
        <w:t xml:space="preserve">Bateman et al. (2025), writing in Computer Law and Security Review, propose a legal framework for deepfake governance grounded in human rights principles, centering the right to informational self-determination and the right to truth. This paper builds on that framework by evaluating it against concrete jurisdictional examples, including the EU AI Act, U.S. state legislation, and Chinese national regulations, revealing cross-border inconsistencies not yet comprehensively synthesized in prior work. Patel et al. (2026) integrate detection and content provenance tracking into an AI-driven multi-stakeholder governance model that includes platforms, regulators, and civil society; this paper adopts that model as the basis for governance recommendations in Section 7.3 while identifying practical implementation barriers the original framework does not fully address.</w:t>
      </w:r>
    </w:p>
    <w:p>
      <w:pPr>
        <w:pStyle w:val="Heading1"/>
      </w:pPr>
      <w:r>
        <w:rPr>
          <w:rFonts w:ascii="Times New Roman" w:cs="Times New Roman" w:eastAsia="Times New Roman" w:hAnsi="Times New Roman"/>
          <w:b/>
          <w:bCs/>
        </w:rPr>
        <w:t xml:space="preserve">3  Research Questions</w:t>
      </w:r>
    </w:p>
    <w:p>
      <w:pPr>
        <w:spacing w:after="160" w:before="0" w:line="276"/>
        <w:jc w:val="both"/>
      </w:pPr>
      <w:r>
        <w:rPr>
          <w:rFonts w:ascii="Times New Roman" w:cs="Times New Roman" w:eastAsia="Times New Roman" w:hAnsi="Times New Roman"/>
          <w:sz w:val="22"/>
          <w:szCs w:val="22"/>
        </w:rPr>
        <w:t xml:space="preserve">This study is guided by two primary research questions that define the analytical scope of the paper. Each question is addressed through the structured literature review and comparative framework described in Section 4, and each is answered directly in Section 10 (Discussion and Findings).</w:t>
      </w:r>
    </w:p>
    <w:p>
      <w:pPr>
        <w:spacing w:after="100" w:before="100" w:line="276"/>
        <w:ind w:left="720" w:hanging="360"/>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What ethical challenges arise from the development and use of deepfake technologies, particularly regarding consent, identity protection, and human dignity?</w:t>
      </w:r>
    </w:p>
    <w:p>
      <w:pPr>
        <w:spacing w:after="160" w:before="100" w:line="276"/>
        <w:ind w:left="720" w:hanging="360"/>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What cybersecurity and fraud risks are introduced by deepfake technologies, and how effective are current detection approaches?</w:t>
      </w:r>
    </w:p>
    <w:p>
      <w:pPr>
        <w:spacing w:after="160" w:before="0" w:line="276"/>
        <w:jc w:val="both"/>
      </w:pPr>
      <w:r>
        <w:rPr>
          <w:rFonts w:ascii="Times New Roman" w:cs="Times New Roman" w:eastAsia="Times New Roman" w:hAnsi="Times New Roman"/>
          <w:sz w:val="22"/>
          <w:szCs w:val="22"/>
        </w:rPr>
        <w:t xml:space="preserve">These two questions capture the core tension at the heart of the deepfake problem: harm to individuals and institutions on one side, and the adequacy of technical and governance countermeasures on the other. Together they structure the analysis in Sections 5 through 8 and are revisited with direct answers in the conclusion.</w:t>
      </w:r>
    </w:p>
    <w:p>
      <w:pPr>
        <w:pStyle w:val="Heading1"/>
      </w:pPr>
      <w:r>
        <w:rPr>
          <w:rFonts w:ascii="Times New Roman" w:cs="Times New Roman" w:eastAsia="Times New Roman" w:hAnsi="Times New Roman"/>
          <w:b/>
          <w:bCs/>
        </w:rPr>
        <w:t xml:space="preserve">4  Methods</w:t>
      </w:r>
    </w:p>
    <w:p>
      <w:pPr>
        <w:spacing w:after="160" w:before="0" w:line="276"/>
        <w:jc w:val="both"/>
      </w:pPr>
      <w:r>
        <w:rPr>
          <w:rFonts w:ascii="Times New Roman" w:cs="Times New Roman" w:eastAsia="Times New Roman" w:hAnsi="Times New Roman"/>
          <w:sz w:val="22"/>
          <w:szCs w:val="22"/>
        </w:rPr>
        <w:t xml:space="preserve">This study employs a structured literature review methodology combined with a comparative analytical framework. The review focuses on peer-reviewed publications, conference proceedings, and technical reports published from 2021–2026 addressing deepfake detection, ethics of generative AI, and policy responses to synthetic media misuse.</w:t>
      </w:r>
    </w:p>
    <w:p>
      <w:pPr>
        <w:pStyle w:val="Heading2"/>
      </w:pPr>
      <w:r>
        <w:rPr>
          <w:rFonts w:ascii="Times New Roman" w:cs="Times New Roman" w:eastAsia="Times New Roman" w:hAnsi="Times New Roman"/>
          <w:b/>
          <w:bCs/>
        </w:rPr>
        <w:t xml:space="preserve">4.1  Literature Search and Selection</w:t>
      </w:r>
    </w:p>
    <w:p>
      <w:pPr>
        <w:spacing w:after="160" w:before="0" w:line="276"/>
        <w:jc w:val="both"/>
      </w:pPr>
      <w:r>
        <w:rPr>
          <w:rFonts w:ascii="Times New Roman" w:cs="Times New Roman" w:eastAsia="Times New Roman" w:hAnsi="Times New Roman"/>
          <w:sz w:val="22"/>
          <w:szCs w:val="22"/>
        </w:rPr>
        <w:t xml:space="preserve">Literature was identified through systematic searches of Google Scholar, IEEE Xplore, ACM Digital Library, and arXiv using terms including "deepfake detection," "synthetic media ethics," "generative AI governance," "GAN deepfake," "diffusion model detection," and "deepfake policy." Inclusion criteria required that sources address at least one of three analytical dimensions: technical detection, cybersecurity risk, or governance and ethics. Sources focused solely on generative model development without addressing detection, risk, or policy were excluded. In total, 15 primary sources are cited, supplemented by reference to legislative texts and industry standards. Source selection prioritized recency, methodological rigor, and relevance to at least one analytical dimension.</w:t>
      </w:r>
    </w:p>
    <w:p>
      <w:pPr>
        <w:pStyle w:val="Heading2"/>
      </w:pPr>
      <w:r>
        <w:rPr>
          <w:rFonts w:ascii="Times New Roman" w:cs="Times New Roman" w:eastAsia="Times New Roman" w:hAnsi="Times New Roman"/>
          <w:b/>
          <w:bCs/>
        </w:rPr>
        <w:t xml:space="preserve">4.2  Analytical Framework</w:t>
      </w:r>
    </w:p>
    <w:p>
      <w:pPr>
        <w:spacing w:after="160" w:before="0" w:line="276"/>
        <w:jc w:val="both"/>
      </w:pPr>
      <w:r>
        <w:rPr>
          <w:rFonts w:ascii="Times New Roman" w:cs="Times New Roman" w:eastAsia="Times New Roman" w:hAnsi="Times New Roman"/>
          <w:sz w:val="22"/>
          <w:szCs w:val="22"/>
        </w:rPr>
        <w:t xml:space="preserve">The analysis is organized across three primary dimensions. First, we evaluate technical capabilities and limitations of deepfake detection methods, categorized as: visual artifact detection, biological signal analysis, audio-based detection, metadata analysis, ML classifiers, and frequency-domain masking. Second, we examine cybersecurity and fraud risks, including attack typologies and documented incidents. Third, we assess emerging legal and regulatory frameworks, comparing approaches across jurisdictions and identifying policy gaps. Detection approaches are systematically compared across five criteria: benchmark accuracy, generalization to unseen deepfake types, adversarial robustness, computational cost, and real-time deployment feasibility.</w:t>
      </w:r>
    </w:p>
    <w:p>
      <w:pPr>
        <w:pStyle w:val="Heading2"/>
      </w:pPr>
      <w:r>
        <w:rPr>
          <w:rFonts w:ascii="Times New Roman" w:cs="Times New Roman" w:eastAsia="Times New Roman" w:hAnsi="Times New Roman"/>
          <w:b/>
          <w:bCs/>
        </w:rPr>
        <w:t xml:space="preserve">4.3  Project Repository</w:t>
      </w:r>
    </w:p>
    <w:p>
      <w:pPr>
        <w:spacing w:after="160" w:before="0" w:line="276"/>
        <w:jc w:val="both"/>
      </w:pPr>
      <w:r>
        <w:rPr>
          <w:rFonts w:ascii="Times New Roman" w:cs="Times New Roman" w:eastAsia="Times New Roman" w:hAnsi="Times New Roman"/>
          <w:sz w:val="22"/>
          <w:szCs w:val="22"/>
        </w:rPr>
        <w:t xml:space="preserve">All supplementary materials for this project — including the structured literature review bibliography, annotated source summaries, detection comparison worksheets, and governance framework documentation — are maintained in the project repository hosted on the Dakota State University SharePoint. The repository is organized into clearly labeled folders corresponding to each section of this paper to support reproducibility and further research.</w:t>
      </w:r>
    </w:p>
    <w:p>
      <w:pPr>
        <w:spacing w:after="80" w:before="0" w:line="276"/>
        <w:jc w:val="both"/>
      </w:pPr>
      <w:r>
        <w:rPr>
          <w:rFonts w:ascii="Times New Roman" w:cs="Times New Roman" w:eastAsia="Times New Roman" w:hAnsi="Times New Roman"/>
          <w:sz w:val="22"/>
          <w:szCs w:val="22"/>
        </w:rPr>
        <w:t xml:space="preserve">Repository: </w:t>
      </w:r>
      <w:hyperlink w:history="1" r:id="rIdnwkaks6dlhb94bpezcgfk">
        <w:r>
          <w:rPr>
            <w:rStyle w:val="Hyperlink"/>
            <w:rFonts w:ascii="Times New Roman" w:cs="Times New Roman" w:eastAsia="Times New Roman" w:hAnsi="Times New Roman"/>
            <w:sz w:val="22"/>
            <w:szCs w:val="22"/>
          </w:rPr>
          <w:t xml:space="preserve">https://dakotastateuniversity-my.sharepoint.com/:f:/r/personal/walther_delorbe_trojans_dsu_edu/Documents/csc727/Project727/Phantom_final/Repository?csf=1&amp;web=1&amp;e=0Z7Zmi</w:t>
        </w:r>
      </w:hyperlink>
    </w:p>
    <w:p>
      <w:pPr>
        <w:spacing w:after="160" w:before="0" w:line="276"/>
        <w:jc w:val="both"/>
      </w:pPr>
      <w:r>
        <w:rPr>
          <w:rFonts w:ascii="Times New Roman" w:cs="Times New Roman" w:eastAsia="Times New Roman" w:hAnsi="Times New Roman"/>
          <w:sz w:val="22"/>
          <w:szCs w:val="22"/>
        </w:rPr>
        <w:t xml:space="preserve">The repository includes the following contents organized by folder: (1) /literature — annotated bibliography entries for all 15 cited sources, with classification by analytical dimension; (2) /detection-analysis — the raw comparison data underlying Tables 1, 2, and 4, including accuracy and generalization estimates drawn from cited benchmarks; (3) /governance — legislative text excerpts and structured comparison notes underlying Table 3; (4) /ethics — synthesized notes on fairness and bias findings from the reviewed detection literature; and (5) /paper — the final report in both .pdf and .docx formats.</w:t>
      </w:r>
    </w:p>
    <w:p>
      <w:pPr>
        <w:pStyle w:val="Heading1"/>
      </w:pPr>
      <w:r>
        <w:rPr>
          <w:rFonts w:ascii="Times New Roman" w:cs="Times New Roman" w:eastAsia="Times New Roman" w:hAnsi="Times New Roman"/>
          <w:b/>
          <w:bCs/>
        </w:rPr>
        <w:t xml:space="preserve">5  Cybersecurity and Fraud Risks</w:t>
      </w:r>
    </w:p>
    <w:p>
      <w:pPr>
        <w:spacing w:after="160" w:before="0" w:line="276"/>
        <w:jc w:val="both"/>
      </w:pPr>
      <w:r>
        <w:rPr>
          <w:rFonts w:ascii="Times New Roman" w:cs="Times New Roman" w:eastAsia="Times New Roman" w:hAnsi="Times New Roman"/>
          <w:sz w:val="22"/>
          <w:szCs w:val="22"/>
        </w:rPr>
        <w:t xml:space="preserve">Deepfake technologies introduce a broad and evolving spectrum of cybersecurity and fraud risks that extend far beyond disinformation into financial systems, authentication infrastructure, and legal processes. The following subsections document primary attack categories, drawing on documented incidents and the threat typology presented in Table 1.</w:t>
      </w:r>
    </w:p>
    <w:p>
      <w:pPr>
        <w:pStyle w:val="Heading2"/>
      </w:pPr>
      <w:r>
        <w:rPr>
          <w:rFonts w:ascii="Times New Roman" w:cs="Times New Roman" w:eastAsia="Times New Roman" w:hAnsi="Times New Roman"/>
          <w:b/>
          <w:bCs/>
        </w:rPr>
        <w:t xml:space="preserve">5.1  Voice Cloning and Business Email Compromise</w:t>
      </w:r>
    </w:p>
    <w:p>
      <w:pPr>
        <w:spacing w:after="160" w:before="0" w:line="276"/>
        <w:jc w:val="both"/>
      </w:pPr>
      <w:r>
        <w:rPr>
          <w:rFonts w:ascii="Times New Roman" w:cs="Times New Roman" w:eastAsia="Times New Roman" w:hAnsi="Times New Roman"/>
          <w:sz w:val="22"/>
          <w:szCs w:val="22"/>
        </w:rPr>
        <w:t xml:space="preserve">Voice cloning represents one of the most immediately impactful deepfake threats. Attackers generate synthetic audio mimicking an executive or trusted colleague to request emergency financial transfers or sensitive credentials. This attack vector has been operationalized alongside business email compromise (BEC) campaigns, where synthetic voice calls reinforce fraudulent email requests, overriding verification protocols. Documented incidents have demonstrated multi-million-dollar losses attributed to voice cloning attacks against European and Asian financial institutions. The convergence of voice cloning with social engineering is particularly dangerous because it circumvents authentication mechanisms that rely on voice recognition or human judgment, the two factors most likely to catch traditional BEC attempts.</w:t>
      </w:r>
    </w:p>
    <w:p>
      <w:pPr>
        <w:pStyle w:val="Heading2"/>
      </w:pPr>
      <w:r>
        <w:rPr>
          <w:rFonts w:ascii="Times New Roman" w:cs="Times New Roman" w:eastAsia="Times New Roman" w:hAnsi="Times New Roman"/>
          <w:b/>
          <w:bCs/>
        </w:rPr>
        <w:t xml:space="preserve">5.2  Identity Impersonation in Authentication Systems</w:t>
      </w:r>
    </w:p>
    <w:p>
      <w:pPr>
        <w:spacing w:after="160" w:before="0" w:line="276"/>
        <w:jc w:val="both"/>
      </w:pPr>
      <w:r>
        <w:rPr>
          <w:rFonts w:ascii="Times New Roman" w:cs="Times New Roman" w:eastAsia="Times New Roman" w:hAnsi="Times New Roman"/>
          <w:sz w:val="22"/>
          <w:szCs w:val="22"/>
        </w:rPr>
        <w:t xml:space="preserve">Deepfake video enables impersonation in remote verification contexts, including video-based know-your-customer (KYC) processes used by financial institutions and government identity verification systems. Many organizations adopted video verification as a security improvement without accounting for synthetic video injection. Real-time face-swap technologies further exacerbate this risk by enabling live impersonation during video calls, directly targeting multi-factor authentication and liveness detection systems. As biometric authentication becomes more prevalent across financial, governmental, and enterprise contexts, the risk surface introduced by deepfake impersonation grows correspondingly larger.</w:t>
      </w:r>
    </w:p>
    <w:p>
      <w:pPr>
        <w:pStyle w:val="Heading2"/>
      </w:pPr>
      <w:r>
        <w:rPr>
          <w:rFonts w:ascii="Times New Roman" w:cs="Times New Roman" w:eastAsia="Times New Roman" w:hAnsi="Times New Roman"/>
          <w:b/>
          <w:bCs/>
        </w:rPr>
        <w:t xml:space="preserve">5.3  Misinformation and Political Manipulation</w:t>
      </w:r>
    </w:p>
    <w:p>
      <w:pPr>
        <w:spacing w:after="160" w:before="0" w:line="276"/>
        <w:jc w:val="both"/>
      </w:pPr>
      <w:r>
        <w:rPr>
          <w:rFonts w:ascii="Times New Roman" w:cs="Times New Roman" w:eastAsia="Times New Roman" w:hAnsi="Times New Roman"/>
          <w:sz w:val="22"/>
          <w:szCs w:val="22"/>
        </w:rPr>
        <w:t xml:space="preserve">Synthetic media is increasingly deployed in coordinated information operations designed to manipulate public opinion, discredit public figures, or fabricate crisis scenarios. The 2024 and 2025 electoral cycles in multiple countries documented use of AI-generated content in political advertising and disinformation campaigns, raising urgent concerns about the integrity of digital political discourse and the stability of democratic institutions. Deepfake-driven political manipulation is particularly difficult to counter because viral spread through social networks typically outpaces verification and correction, and because the psychological impact persists even after corrections are issued, as demonstrated by Clark and Lewandowsky (2026).</w:t>
      </w:r>
    </w:p>
    <w:p>
      <w:pPr>
        <w:pStyle w:val="Heading2"/>
      </w:pPr>
      <w:r>
        <w:rPr>
          <w:rFonts w:ascii="Times New Roman" w:cs="Times New Roman" w:eastAsia="Times New Roman" w:hAnsi="Times New Roman"/>
          <w:b/>
          <w:bCs/>
        </w:rPr>
        <w:t xml:space="preserve">5.4  Extended Attack Surface</w:t>
      </w:r>
    </w:p>
    <w:p>
      <w:pPr>
        <w:spacing w:after="160" w:before="0" w:line="276"/>
        <w:jc w:val="both"/>
      </w:pPr>
      <w:r>
        <w:rPr>
          <w:rFonts w:ascii="Times New Roman" w:cs="Times New Roman" w:eastAsia="Times New Roman" w:hAnsi="Times New Roman"/>
          <w:sz w:val="22"/>
          <w:szCs w:val="22"/>
        </w:rPr>
        <w:t xml:space="preserve">Beyond the primary categories above, deepfakes enable a range of additional cybersecurity threats that are likely to grow in severity as generation becomes more accessible:</w:t>
      </w:r>
    </w:p>
    <w:p>
      <w:pPr>
        <w:pStyle w:val="ListParagraph"/>
        <w:numPr>
          <w:ilvl w:val="0"/>
          <w:numId w:val="2"/>
        </w:numPr>
        <w:spacing w:after="80" w:before="0" w:line="276"/>
      </w:pPr>
      <w:r>
        <w:rPr>
          <w:rFonts w:ascii="Times New Roman" w:cs="Times New Roman" w:eastAsia="Times New Roman" w:hAnsi="Times New Roman"/>
          <w:sz w:val="22"/>
          <w:szCs w:val="22"/>
        </w:rPr>
        <w:t xml:space="preserve">Biometric authentication bypass using face or voice spoofing against FIDO2 and liveness detection systems</w:t>
      </w:r>
    </w:p>
    <w:p>
      <w:pPr>
        <w:pStyle w:val="ListParagraph"/>
        <w:numPr>
          <w:ilvl w:val="0"/>
          <w:numId w:val="2"/>
        </w:numPr>
        <w:spacing w:after="80" w:before="0" w:line="276"/>
      </w:pPr>
      <w:r>
        <w:rPr>
          <w:rFonts w:ascii="Times New Roman" w:cs="Times New Roman" w:eastAsia="Times New Roman" w:hAnsi="Times New Roman"/>
          <w:sz w:val="22"/>
          <w:szCs w:val="22"/>
        </w:rPr>
        <w:t xml:space="preserve">Insider impersonation attacks exploiting organizational trust relationships and privileged access pathways</w:t>
      </w:r>
    </w:p>
    <w:p>
      <w:pPr>
        <w:pStyle w:val="ListParagraph"/>
        <w:numPr>
          <w:ilvl w:val="0"/>
          <w:numId w:val="2"/>
        </w:numPr>
        <w:spacing w:after="80" w:before="0" w:line="276"/>
      </w:pPr>
      <w:r>
        <w:rPr>
          <w:rFonts w:ascii="Times New Roman" w:cs="Times New Roman" w:eastAsia="Times New Roman" w:hAnsi="Times New Roman"/>
          <w:sz w:val="22"/>
          <w:szCs w:val="22"/>
        </w:rPr>
        <w:t xml:space="preserve">Synthetic evidence generation to fabricate or undermine the integrity of legal proceedings</w:t>
      </w:r>
    </w:p>
    <w:p>
      <w:pPr>
        <w:pStyle w:val="ListParagraph"/>
        <w:numPr>
          <w:ilvl w:val="0"/>
          <w:numId w:val="2"/>
        </w:numPr>
        <w:spacing w:after="80" w:before="0" w:line="276"/>
      </w:pPr>
      <w:r>
        <w:rPr>
          <w:rFonts w:ascii="Times New Roman" w:cs="Times New Roman" w:eastAsia="Times New Roman" w:hAnsi="Times New Roman"/>
          <w:sz w:val="22"/>
          <w:szCs w:val="22"/>
        </w:rPr>
        <w:t xml:space="preserve">Market manipulation using fabricated executive or regulatory statements distributed through authentic-appearing channels</w:t>
      </w:r>
    </w:p>
    <w:p>
      <w:pPr>
        <w:pStyle w:val="ListParagraph"/>
        <w:numPr>
          <w:ilvl w:val="0"/>
          <w:numId w:val="2"/>
        </w:numPr>
        <w:spacing w:after="80" w:before="0" w:line="276"/>
      </w:pPr>
      <w:r>
        <w:rPr>
          <w:rFonts w:ascii="Times New Roman" w:cs="Times New Roman" w:eastAsia="Times New Roman" w:hAnsi="Times New Roman"/>
          <w:sz w:val="22"/>
          <w:szCs w:val="22"/>
        </w:rPr>
        <w:t xml:space="preserve">Long-term social engineering campaigns building false rapport through sustained video deepfake personas</w:t>
      </w:r>
    </w:p>
    <w:p>
      <w:pPr>
        <w:pStyle w:val="ListParagraph"/>
        <w:numPr>
          <w:ilvl w:val="0"/>
          <w:numId w:val="2"/>
        </w:numPr>
        <w:spacing w:after="80" w:before="0" w:line="276"/>
      </w:pPr>
      <w:r>
        <w:rPr>
          <w:rFonts w:ascii="Times New Roman" w:cs="Times New Roman" w:eastAsia="Times New Roman" w:hAnsi="Times New Roman"/>
          <w:sz w:val="22"/>
          <w:szCs w:val="22"/>
        </w:rPr>
        <w:t xml:space="preserve">Fraudulent customer support impersonation targeting vulnerable or elderly populations</w:t>
      </w:r>
    </w:p>
    <w:p>
      <w:pPr>
        <w:spacing w:after="160" w:before="0" w:line="276"/>
        <w:jc w:val="both"/>
      </w:pPr>
      <w:r>
        <w:rPr>
          <w:rFonts w:ascii="Times New Roman" w:cs="Times New Roman" w:eastAsia="Times New Roman" w:hAnsi="Times New Roman"/>
          <w:sz w:val="22"/>
          <w:szCs w:val="22"/>
        </w:rPr>
        <w:t xml:space="preserve"/>
      </w:r>
    </w:p>
    <w:p>
      <w:pPr>
        <w:spacing w:after="80" w:before="0" w:line="276"/>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i/>
          <w:iCs/>
          <w:sz w:val="20"/>
          <w:szCs w:val="20"/>
        </w:rPr>
        <w:t xml:space="preserve"> Deepfake Attack Typology and Organizational Risk Assessment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1580"/>
        <w:gridCol w:w="1180"/>
      </w:tblGrid>
      <w:tr>
        <w:trPr>
          <w:tblHeader/>
        </w:trPr>
        <w:tc>
          <w:tcPr>
            <w:tcW w:type="dxa" w:w="20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Attack Type</w:t>
            </w:r>
          </w:p>
        </w:tc>
        <w:tc>
          <w:tcPr>
            <w:tcW w:type="dxa" w:w="19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Primary Target</w:t>
            </w:r>
          </w:p>
        </w:tc>
        <w:tc>
          <w:tcPr>
            <w:tcW w:type="dxa" w:w="17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Impact Domain</w:t>
            </w:r>
          </w:p>
        </w:tc>
        <w:tc>
          <w:tcPr>
            <w:tcW w:type="dxa" w:w="158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Detection Difficulty</w:t>
            </w:r>
          </w:p>
        </w:tc>
        <w:tc>
          <w:tcPr>
            <w:tcW w:type="dxa" w:w="118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Risk Level</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Voice Cloning (BEC)</w:t>
            </w:r>
          </w:p>
        </w:tc>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Financial institutions</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Financial fraud</w:t>
            </w:r>
          </w:p>
        </w:tc>
        <w:tc>
          <w:tcPr>
            <w:tcW w:type="dxa" w:w="15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1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Critical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Video KYC Impersonation</w:t>
            </w:r>
          </w:p>
        </w:tc>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Banks, government services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Identity theft</w:t>
            </w:r>
          </w:p>
        </w:tc>
        <w:tc>
          <w:tcPr>
            <w:tcW w:type="dxa" w:w="15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Very High</w:t>
            </w:r>
          </w:p>
        </w:tc>
        <w:tc>
          <w:tcPr>
            <w:tcW w:type="dxa" w:w="11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Critical</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Political Disinformation</w:t>
            </w:r>
          </w:p>
        </w:tc>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Public, media institutions</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Democratic integrity</w:t>
            </w:r>
          </w:p>
        </w:tc>
        <w:tc>
          <w:tcPr>
            <w:tcW w:type="dxa" w:w="15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1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Critical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Biometric Spoofing</w:t>
            </w:r>
          </w:p>
        </w:tc>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Authentication systems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Unauthorized access</w:t>
            </w:r>
          </w:p>
        </w:tc>
        <w:tc>
          <w:tcPr>
            <w:tcW w:type="dxa" w:w="15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1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Non-consensual Media</w:t>
            </w:r>
          </w:p>
        </w:tc>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Private individuals</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Psychological/legal harm</w:t>
            </w:r>
          </w:p>
        </w:tc>
        <w:tc>
          <w:tcPr>
            <w:tcW w:type="dxa" w:w="15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1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Synthetic Legal Evidence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Courts, law enforcement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Obstruction of justice</w:t>
            </w:r>
          </w:p>
        </w:tc>
        <w:tc>
          <w:tcPr>
            <w:tcW w:type="dxa" w:w="15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Very High</w:t>
            </w:r>
          </w:p>
        </w:tc>
        <w:tc>
          <w:tcPr>
            <w:tcW w:type="dxa" w:w="11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Critical</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Market Manipulation</w:t>
            </w:r>
          </w:p>
        </w:tc>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Financial markets</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Economic disruption</w:t>
            </w:r>
          </w:p>
        </w:tc>
        <w:tc>
          <w:tcPr>
            <w:tcW w:type="dxa" w:w="15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18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Social Engineering Video</w:t>
            </w:r>
          </w:p>
        </w:tc>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Individuals, organizations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Credential theft</w:t>
            </w:r>
          </w:p>
        </w:tc>
        <w:tc>
          <w:tcPr>
            <w:tcW w:type="dxa" w:w="15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18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r>
    </w:tbl>
    <w:p>
      <w:pPr>
        <w:spacing w:after="160" w:before="80" w:line="276"/>
        <w:jc w:val="both"/>
      </w:pPr>
      <w:r>
        <w:rPr>
          <w:rFonts w:ascii="Times New Roman" w:cs="Times New Roman" w:eastAsia="Times New Roman" w:hAnsi="Times New Roman"/>
          <w:sz w:val="22"/>
          <w:szCs w:val="22"/>
        </w:rPr>
        <w:t xml:space="preserve">Four attack types are rated Critical due to direct threats to financial systems, legal systems, or democratic institutions. The pattern across Critical attacks is consistent: each exploits an institutional trust relationship at scale by weaponizing the assumption that media artifacts are authentic — an assumption deepfake technology systematically invalidates.</w:t>
      </w:r>
    </w:p>
    <w:p>
      <w:pPr>
        <w:pStyle w:val="Heading1"/>
      </w:pPr>
      <w:r>
        <w:rPr>
          <w:rFonts w:ascii="Times New Roman" w:cs="Times New Roman" w:eastAsia="Times New Roman" w:hAnsi="Times New Roman"/>
          <w:b/>
          <w:bCs/>
        </w:rPr>
        <w:t xml:space="preserve">6  Deepfake Detection Techniques</w:t>
      </w:r>
    </w:p>
    <w:p>
      <w:pPr>
        <w:spacing w:after="160" w:before="0" w:line="276"/>
        <w:jc w:val="both"/>
      </w:pPr>
      <w:r>
        <w:rPr>
          <w:rFonts w:ascii="Times New Roman" w:cs="Times New Roman" w:eastAsia="Times New Roman" w:hAnsi="Times New Roman"/>
          <w:sz w:val="22"/>
          <w:szCs w:val="22"/>
        </w:rPr>
        <w:t xml:space="preserve">Detection methods have advanced in parallel with generative capabilities, yet remain in a persistent adversarial deficit. As generative architectures evolve — most significantly in the shift from GANs to diffusion models — detection approaches trained on prior-generation content degrade rapidly. This section categorizes and evaluates current detection techniques across five performance dimensions: benchmark accuracy, generalization, adversarial robustness, computational cost, and real-time deployment feasibility.</w:t>
      </w:r>
    </w:p>
    <w:p>
      <w:pPr>
        <w:pStyle w:val="Heading2"/>
      </w:pPr>
      <w:r>
        <w:rPr>
          <w:rFonts w:ascii="Times New Roman" w:cs="Times New Roman" w:eastAsia="Times New Roman" w:hAnsi="Times New Roman"/>
          <w:b/>
          <w:bCs/>
        </w:rPr>
        <w:t xml:space="preserve">6.1  Visual Artifact Detection</w:t>
      </w:r>
    </w:p>
    <w:p>
      <w:pPr>
        <w:spacing w:after="160" w:before="0" w:line="276"/>
        <w:jc w:val="both"/>
      </w:pPr>
      <w:r>
        <w:rPr>
          <w:rFonts w:ascii="Times New Roman" w:cs="Times New Roman" w:eastAsia="Times New Roman" w:hAnsi="Times New Roman"/>
          <w:sz w:val="22"/>
          <w:szCs w:val="22"/>
        </w:rPr>
        <w:t xml:space="preserve">These approaches identify inconsistencies in lighting, facial geometry, blending boundaries, and rendering artifacts at the pixel level. Effective against early GAN-generated media, they are substantially weakened by diffusion-based models that produce fewer compression and blending artifacts. Benchmark accuracy on GAN test sets exceeds 90%, but generalization to out-of-distribution and cross-architecture content drops to near-chance levels, making this approach increasingly unreliable as the field's primary generation paradigm shifts.</w:t>
      </w:r>
    </w:p>
    <w:p>
      <w:pPr>
        <w:pStyle w:val="Heading2"/>
      </w:pPr>
      <w:r>
        <w:rPr>
          <w:rFonts w:ascii="Times New Roman" w:cs="Times New Roman" w:eastAsia="Times New Roman" w:hAnsi="Times New Roman"/>
          <w:b/>
          <w:bCs/>
        </w:rPr>
        <w:t xml:space="preserve">6.2  Biological Signal Analysis</w:t>
      </w:r>
    </w:p>
    <w:p>
      <w:pPr>
        <w:spacing w:after="160" w:before="0" w:line="276"/>
        <w:jc w:val="both"/>
      </w:pPr>
      <w:r>
        <w:rPr>
          <w:rFonts w:ascii="Times New Roman" w:cs="Times New Roman" w:eastAsia="Times New Roman" w:hAnsi="Times New Roman"/>
          <w:sz w:val="22"/>
          <w:szCs w:val="22"/>
        </w:rPr>
        <w:t xml:space="preserve">These techniques analyze physiological signals — eye blink rates, micro-expression timing, subtle breathing motion, and pulse estimation from skin color variation — that are difficult to synthesize authentically. Effective against first- and second-generation deepfakes, newer models trained on high-frame-rate video datasets now simulate biological patterns with sufficient fidelity to evade detection, particularly when high-quality source video is available to the attacker.</w:t>
      </w:r>
    </w:p>
    <w:p>
      <w:pPr>
        <w:pStyle w:val="Heading2"/>
      </w:pPr>
      <w:r>
        <w:rPr>
          <w:rFonts w:ascii="Times New Roman" w:cs="Times New Roman" w:eastAsia="Times New Roman" w:hAnsi="Times New Roman"/>
          <w:b/>
          <w:bCs/>
        </w:rPr>
        <w:t xml:space="preserve">6.3  Audio Spectral Analysis</w:t>
      </w:r>
    </w:p>
    <w:p>
      <w:pPr>
        <w:spacing w:after="160" w:before="0" w:line="276"/>
        <w:jc w:val="both"/>
      </w:pPr>
      <w:r>
        <w:rPr>
          <w:rFonts w:ascii="Times New Roman" w:cs="Times New Roman" w:eastAsia="Times New Roman" w:hAnsi="Times New Roman"/>
          <w:sz w:val="22"/>
          <w:szCs w:val="22"/>
        </w:rPr>
        <w:t xml:space="preserve">Audio-based detection analyzes spectral anomalies in synthetic speech, including inconsistencies in pitch contours, formant trajectories, and waveform characteristics. Advanced voice cloning architectures (VITS, VALL-E) have substantially narrowed the detectability gap, particularly for short audio clips under three seconds where spectral context is limited and where most real-world BEC voice clips fall.</w:t>
      </w:r>
    </w:p>
    <w:p>
      <w:pPr>
        <w:pStyle w:val="Heading2"/>
      </w:pPr>
      <w:r>
        <w:rPr>
          <w:rFonts w:ascii="Times New Roman" w:cs="Times New Roman" w:eastAsia="Times New Roman" w:hAnsi="Times New Roman"/>
          <w:b/>
          <w:bCs/>
        </w:rPr>
        <w:t xml:space="preserve">6.4  Metadata and Provenance Analysis</w:t>
      </w:r>
    </w:p>
    <w:p>
      <w:pPr>
        <w:spacing w:after="160" w:before="0" w:line="276"/>
        <w:jc w:val="both"/>
      </w:pPr>
      <w:r>
        <w:rPr>
          <w:rFonts w:ascii="Times New Roman" w:cs="Times New Roman" w:eastAsia="Times New Roman" w:hAnsi="Times New Roman"/>
          <w:sz w:val="22"/>
          <w:szCs w:val="22"/>
        </w:rPr>
        <w:t xml:space="preserve">Metadata examination inspects file origin, compression history, and encoding inconsistencies. Effective when metadata is present and unmodified, this approach fails when metadata is stripped — a trivial operation for a technically sophisticated attacker. Content credential standards (C2PA) aim to address this gap through cryptographic provenance chains attached at point of creation, but adoption remains limited and does not retroactively address existing synthetic content.</w:t>
      </w:r>
    </w:p>
    <w:p>
      <w:pPr>
        <w:pStyle w:val="Heading2"/>
      </w:pPr>
      <w:r>
        <w:rPr>
          <w:rFonts w:ascii="Times New Roman" w:cs="Times New Roman" w:eastAsia="Times New Roman" w:hAnsi="Times New Roman"/>
          <w:b/>
          <w:bCs/>
        </w:rPr>
        <w:t xml:space="preserve">6.5  Machine Learning Classifiers and Ensembles</w:t>
      </w:r>
    </w:p>
    <w:p>
      <w:pPr>
        <w:spacing w:after="160" w:before="0" w:line="276"/>
        <w:jc w:val="both"/>
      </w:pPr>
      <w:r>
        <w:rPr>
          <w:rFonts w:ascii="Times New Roman" w:cs="Times New Roman" w:eastAsia="Times New Roman" w:hAnsi="Times New Roman"/>
          <w:sz w:val="22"/>
          <w:szCs w:val="22"/>
        </w:rPr>
        <w:t xml:space="preserve">Neural network-based classifiers achieve state-of-the-art benchmark performance but require continuous retraining as generative models evolve — creating a maintenance burden that limits practical longevity without dedicated infrastructure. Multimodal ensemble systems consistently outperform single-modality approaches but impose substantial computational costs, typically making real-time deployment infeasible at scale. Frequency-domain masking (Doloriel et al., 2025) offers the best generalization-to-cost tradeoff of any approach in the reviewed literature, achieving high cross-architecture generalization at moderate computational expense.</w:t>
      </w:r>
    </w:p>
    <w:p>
      <w:pPr>
        <w:spacing w:after="160" w:before="0" w:line="276"/>
        <w:jc w:val="both"/>
      </w:pPr>
      <w:r>
        <w:rPr>
          <w:rFonts w:ascii="Times New Roman" w:cs="Times New Roman" w:eastAsia="Times New Roman" w:hAnsi="Times New Roman"/>
          <w:sz w:val="22"/>
          <w:szCs w:val="22"/>
        </w:rPr>
        <w:t xml:space="preserve"/>
      </w:r>
    </w:p>
    <w:p>
      <w:pPr>
        <w:spacing w:after="80" w:before="0" w:line="276"/>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i/>
          <w:iCs/>
          <w:sz w:val="20"/>
          <w:szCs w:val="20"/>
        </w:rPr>
        <w:t xml:space="preserve"> Comparative Analysis of Deepfake Detection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400"/>
        <w:gridCol w:w="1700"/>
        <w:gridCol w:w="1360"/>
        <w:gridCol w:w="1400"/>
      </w:tblGrid>
      <w:tr>
        <w:trPr>
          <w:tblHeader/>
        </w:trPr>
        <w:tc>
          <w:tcPr>
            <w:tcW w:type="dxa" w:w="19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Detection Method</w:t>
            </w:r>
          </w:p>
        </w:tc>
        <w:tc>
          <w:tcPr>
            <w:tcW w:type="dxa" w:w="16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Benchmark Accuracy</w:t>
            </w:r>
          </w:p>
        </w:tc>
        <w:tc>
          <w:tcPr>
            <w:tcW w:type="dxa" w:w="14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Generalization</w:t>
            </w:r>
          </w:p>
        </w:tc>
        <w:tc>
          <w:tcPr>
            <w:tcW w:type="dxa" w:w="17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Adversarial Robustness</w:t>
            </w:r>
          </w:p>
        </w:tc>
        <w:tc>
          <w:tcPr>
            <w:tcW w:type="dxa" w:w="136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Compute Cost</w:t>
            </w:r>
          </w:p>
        </w:tc>
        <w:tc>
          <w:tcPr>
            <w:tcW w:type="dxa" w:w="14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Real-time Feasible</w:t>
            </w:r>
          </w:p>
        </w:tc>
      </w:tr>
      <w:tr>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Visual Artifact</w:t>
            </w:r>
          </w:p>
        </w:tc>
        <w:tc>
          <w:tcPr>
            <w:tcW w:type="dxa" w:w="16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 (GAN)</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 (diffusion)</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w:t>
            </w:r>
          </w:p>
        </w:tc>
        <w:tc>
          <w:tcPr>
            <w:tcW w:type="dxa" w:w="13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Yes</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Biological Signal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3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w:t>
            </w:r>
          </w:p>
        </w:tc>
        <w:tc>
          <w:tcPr>
            <w:tcW w:type="dxa" w:w="14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Yes</w:t>
            </w:r>
          </w:p>
        </w:tc>
      </w:tr>
      <w:tr>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Audio Spectral</w:t>
            </w:r>
          </w:p>
        </w:tc>
        <w:tc>
          <w:tcPr>
            <w:tcW w:type="dxa" w:w="16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Moderate-High</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Low-Moderate</w:t>
            </w:r>
          </w:p>
        </w:tc>
        <w:tc>
          <w:tcPr>
            <w:tcW w:type="dxa" w:w="13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Yes</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Metadata Analysis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w:t>
            </w:r>
          </w:p>
        </w:tc>
        <w:tc>
          <w:tcPr>
            <w:tcW w:type="dxa" w:w="17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Very Low</w:t>
            </w:r>
          </w:p>
        </w:tc>
        <w:tc>
          <w:tcPr>
            <w:tcW w:type="dxa" w:w="13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Very Low</w:t>
            </w:r>
          </w:p>
        </w:tc>
        <w:tc>
          <w:tcPr>
            <w:tcW w:type="dxa" w:w="14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Yes</w:t>
            </w:r>
          </w:p>
        </w:tc>
      </w:tr>
      <w:tr>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ML Classifier</w:t>
            </w:r>
          </w:p>
        </w:tc>
        <w:tc>
          <w:tcPr>
            <w:tcW w:type="dxa" w:w="16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3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Partial</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Multimodal Ensemble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Moderate-High</w:t>
            </w:r>
          </w:p>
        </w:tc>
        <w:tc>
          <w:tcPr>
            <w:tcW w:type="dxa" w:w="17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Moderate-High</w:t>
            </w:r>
          </w:p>
        </w:tc>
        <w:tc>
          <w:tcPr>
            <w:tcW w:type="dxa" w:w="13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No</w:t>
            </w:r>
          </w:p>
        </w:tc>
      </w:tr>
      <w:tr>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Freq-Domain Masking</w:t>
            </w:r>
          </w:p>
        </w:tc>
        <w:tc>
          <w:tcPr>
            <w:tcW w:type="dxa" w:w="16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7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c>
          <w:tcPr>
            <w:tcW w:type="dxa" w:w="13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c>
          <w:tcPr>
            <w:tcW w:type="dxa" w:w="14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Partial</w:t>
            </w:r>
          </w:p>
        </w:tc>
      </w:tr>
    </w:tbl>
    <w:p>
      <w:pPr>
        <w:spacing w:after="160" w:before="80" w:line="276"/>
        <w:jc w:val="both"/>
      </w:pPr>
      <w:r>
        <w:rPr>
          <w:rFonts w:ascii="Times New Roman" w:cs="Times New Roman" w:eastAsia="Times New Roman" w:hAnsi="Times New Roman"/>
          <w:sz w:val="22"/>
          <w:szCs w:val="22"/>
        </w:rPr>
        <w:t xml:space="preserve">Frequency-domain masking achieves the best generalization score of any single approach and is the only method rated High across generalization, adversarial robustness, and benchmark accuracy simultaneously. Multimodal ensembles remain the overall performance leader but are infeasible for real-time deployment without dedicated infrastructure — a critical constraint for platform-level moderation. Visual artifact detection, despite high benchmark accuracy, cannot be relied upon as generative architectures continue their shift toward diffusion-based generation.</w:t>
      </w:r>
    </w:p>
    <w:p>
      <w:pPr>
        <w:spacing w:after="160" w:before="0" w:line="276"/>
        <w:jc w:val="both"/>
      </w:pPr>
      <w:r>
        <w:rPr>
          <w:rFonts w:ascii="Times New Roman" w:cs="Times New Roman" w:eastAsia="Times New Roman" w:hAnsi="Times New Roman"/>
          <w:sz w:val="22"/>
          <w:szCs w:val="22"/>
        </w:rPr>
        <w:t xml:space="preserve"/>
      </w:r>
    </w:p>
    <w:p>
      <w:pPr>
        <w:spacing w:after="80" w:before="0" w:line="276"/>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i/>
          <w:iCs/>
          <w:sz w:val="20"/>
          <w:szCs w:val="20"/>
        </w:rPr>
        <w:t xml:space="preserve"> Detection Accuracy vs. Cross-Architecture Generalization (Approximate)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660"/>
      </w:tblGrid>
      <w:tr>
        <w:trPr>
          <w:tblHeader/>
        </w:trPr>
        <w:tc>
          <w:tcPr>
            <w:tcW w:type="dxa" w:w="28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Detection Method</w:t>
            </w:r>
          </w:p>
        </w:tc>
        <w:tc>
          <w:tcPr>
            <w:tcW w:type="dxa" w:w="30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Benchmark Accuracy</w:t>
            </w:r>
          </w:p>
        </w:tc>
        <w:tc>
          <w:tcPr>
            <w:tcW w:type="dxa" w:w="266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Generalization Score</w:t>
            </w:r>
          </w:p>
        </w:tc>
      </w:tr>
      <w:tr>
        <w:tc>
          <w:tcPr>
            <w:tcW w:type="dxa" w:w="28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Visual Artifact</w:t>
            </w:r>
          </w:p>
        </w:tc>
        <w:tc>
          <w:tcPr>
            <w:tcW w:type="dxa" w:w="3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~92%</w:t>
            </w:r>
          </w:p>
        </w:tc>
        <w:tc>
          <w:tcPr>
            <w:tcW w:type="dxa" w:w="26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~38%</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Biological Signal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~78%</w:t>
            </w:r>
          </w:p>
        </w:tc>
        <w:tc>
          <w:tcPr>
            <w:tcW w:type="dxa" w:w="26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~62%</w:t>
            </w:r>
          </w:p>
        </w:tc>
      </w:tr>
      <w:tr>
        <w:tc>
          <w:tcPr>
            <w:tcW w:type="dxa" w:w="28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Audio Spectral</w:t>
            </w:r>
          </w:p>
        </w:tc>
        <w:tc>
          <w:tcPr>
            <w:tcW w:type="dxa" w:w="3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~84%</w:t>
            </w:r>
          </w:p>
        </w:tc>
        <w:tc>
          <w:tcPr>
            <w:tcW w:type="dxa" w:w="26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~58%</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Metadata Analysis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~71%</w:t>
            </w:r>
          </w:p>
        </w:tc>
        <w:tc>
          <w:tcPr>
            <w:tcW w:type="dxa" w:w="26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~32%</w:t>
            </w:r>
          </w:p>
        </w:tc>
      </w:tr>
      <w:tr>
        <w:tc>
          <w:tcPr>
            <w:tcW w:type="dxa" w:w="28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ML Classifier</w:t>
            </w:r>
          </w:p>
        </w:tc>
        <w:tc>
          <w:tcPr>
            <w:tcW w:type="dxa" w:w="3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~91%</w:t>
            </w:r>
          </w:p>
        </w:tc>
        <w:tc>
          <w:tcPr>
            <w:tcW w:type="dxa" w:w="26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~66%</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Multimodal Ensemble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~96%</w:t>
            </w:r>
          </w:p>
        </w:tc>
        <w:tc>
          <w:tcPr>
            <w:tcW w:type="dxa" w:w="26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~74%</w:t>
            </w:r>
          </w:p>
        </w:tc>
      </w:tr>
      <w:tr>
        <w:tc>
          <w:tcPr>
            <w:tcW w:type="dxa" w:w="28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Freq-Domain Masking</w:t>
            </w:r>
          </w:p>
        </w:tc>
        <w:tc>
          <w:tcPr>
            <w:tcW w:type="dxa" w:w="30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~88%</w:t>
            </w:r>
          </w:p>
        </w:tc>
        <w:tc>
          <w:tcPr>
            <w:tcW w:type="dxa" w:w="26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~81% ← Best</w:t>
            </w:r>
          </w:p>
        </w:tc>
      </w:tr>
    </w:tbl>
    <w:p>
      <w:pPr>
        <w:spacing w:after="160" w:before="60" w:line="276"/>
        <w:jc w:val="both"/>
      </w:pPr>
      <w:r>
        <w:rPr>
          <w:rFonts w:ascii="Times New Roman" w:cs="Times New Roman" w:eastAsia="Times New Roman" w:hAnsi="Times New Roman"/>
          <w:sz w:val="22"/>
          <w:szCs w:val="22"/>
        </w:rPr>
        <w:t xml:space="preserve">Note: Values in Table 4 are approximations derived from ranges reported across cited literature benchmarks. They are intended to illustrate relative performance differences across methods, not to assert precise empirical accuracy. Readers seeking exact figures are directed to the primary sources cited in Section 2.</w:t>
      </w:r>
    </w:p>
    <w:p>
      <w:pPr>
        <w:pStyle w:val="Heading1"/>
      </w:pPr>
      <w:r>
        <w:rPr>
          <w:rFonts w:ascii="Times New Roman" w:cs="Times New Roman" w:eastAsia="Times New Roman" w:hAnsi="Times New Roman"/>
          <w:b/>
          <w:bCs/>
        </w:rPr>
        <w:t xml:space="preserve">7  Governance and Mitigation Approaches</w:t>
      </w:r>
    </w:p>
    <w:p>
      <w:pPr>
        <w:spacing w:after="160" w:before="0" w:line="276"/>
        <w:jc w:val="both"/>
      </w:pPr>
      <w:r>
        <w:rPr>
          <w:rFonts w:ascii="Times New Roman" w:cs="Times New Roman" w:eastAsia="Times New Roman" w:hAnsi="Times New Roman"/>
          <w:sz w:val="22"/>
          <w:szCs w:val="22"/>
        </w:rPr>
        <w:t xml:space="preserve">Governance frameworks for deepfake technologies remain nascent and fragmented. Regulatory responses have emerged unevenly across jurisdictions, creating enforcement gaps that allow synthetic media misuse to proliferate transnationally. This section reviews legislative approaches, technical mitigation strategies, and multi-stakeholder governance models, and identifies critical gaps in the current landscape.</w:t>
      </w:r>
    </w:p>
    <w:p>
      <w:pPr>
        <w:pStyle w:val="Heading2"/>
      </w:pPr>
      <w:r>
        <w:rPr>
          <w:rFonts w:ascii="Times New Roman" w:cs="Times New Roman" w:eastAsia="Times New Roman" w:hAnsi="Times New Roman"/>
          <w:b/>
          <w:bCs/>
        </w:rPr>
        <w:t xml:space="preserve">7.1  Legislative Landscape</w:t>
      </w:r>
    </w:p>
    <w:p>
      <w:pPr>
        <w:spacing w:after="160" w:before="0" w:line="276"/>
        <w:jc w:val="both"/>
      </w:pPr>
      <w:r>
        <w:rPr>
          <w:rFonts w:ascii="Times New Roman" w:cs="Times New Roman" w:eastAsia="Times New Roman" w:hAnsi="Times New Roman"/>
          <w:sz w:val="22"/>
          <w:szCs w:val="22"/>
        </w:rPr>
        <w:t xml:space="preserve">In the United States, California and Texas have enacted legislation targeting non-consensual deepfake pornography and political deepfakes; federal legislation has been proposed — including the DEFIANCE Act — but not enacted as of this writing. The absence of federal legislation creates inconsistent protection for individuals depending on their state of residence and leaves cross-state cases without a clear legal framework. The EU AI Act takes a risk-based regulatory approach, requiring high-risk AI applications to disclose synthetic content generation and mandating watermarking of AI-generated media; its risk-tiering system represents a more systematic approach than U.S. fragmentation, but faces enforcement challenges across member states. China has implemented comprehensive deepfake regulations requiring content labeling and platform accountability — among the most assertive national frameworks globally, though critics note enforcement has been applied inconsistently and primarily in politically sensitive contexts. Table 3 provides a comparative overview.</w:t>
      </w:r>
    </w:p>
    <w:p>
      <w:pPr>
        <w:spacing w:after="160" w:before="0" w:line="276"/>
        <w:jc w:val="both"/>
      </w:pPr>
      <w:r>
        <w:rPr>
          <w:rFonts w:ascii="Times New Roman" w:cs="Times New Roman" w:eastAsia="Times New Roman" w:hAnsi="Times New Roman"/>
          <w:sz w:val="22"/>
          <w:szCs w:val="22"/>
        </w:rPr>
        <w:t xml:space="preserve"/>
      </w:r>
    </w:p>
    <w:p>
      <w:pPr>
        <w:spacing w:after="80" w:before="0" w:line="276"/>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i/>
          <w:iCs/>
          <w:sz w:val="20"/>
          <w:szCs w:val="20"/>
        </w:rPr>
        <w:t xml:space="preserve"> Jurisdictional Governance Frameworks for Deepfake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1560"/>
        <w:gridCol w:w="1300"/>
      </w:tblGrid>
      <w:tr>
        <w:trPr>
          <w:tblHeader/>
        </w:trPr>
        <w:tc>
          <w:tcPr>
            <w:tcW w:type="dxa" w:w="19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Jurisdiction</w:t>
            </w:r>
          </w:p>
        </w:tc>
        <w:tc>
          <w:tcPr>
            <w:tcW w:type="dxa" w:w="21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Primary Legislation</w:t>
            </w:r>
          </w:p>
        </w:tc>
        <w:tc>
          <w:tcPr>
            <w:tcW w:type="dxa" w:w="25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Key Requirements</w:t>
            </w:r>
          </w:p>
        </w:tc>
        <w:tc>
          <w:tcPr>
            <w:tcW w:type="dxa" w:w="156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Enforcement Body</w:t>
            </w:r>
          </w:p>
        </w:tc>
        <w:tc>
          <w:tcPr>
            <w:tcW w:type="dxa" w:w="13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Maturity</w:t>
            </w:r>
          </w:p>
        </w:tc>
      </w:tr>
      <w:tr>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United States (Federal)</w:t>
            </w:r>
          </w:p>
        </w:tc>
        <w:tc>
          <w:tcPr>
            <w:tcW w:type="dxa" w:w="21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No federal law enacted</w:t>
            </w:r>
          </w:p>
        </w:tc>
        <w:tc>
          <w:tcPr>
            <w:tcW w:type="dxa" w:w="25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Proposed DEFIANCE Act; state-level varies</w:t>
            </w:r>
          </w:p>
        </w:tc>
        <w:tc>
          <w:tcPr>
            <w:tcW w:type="dxa" w:w="15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FTC / State AGs</w:t>
            </w:r>
          </w:p>
        </w:tc>
        <w:tc>
          <w:tcPr>
            <w:tcW w:type="dxa" w:w="13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Low</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United States (CA/TX)</w:t>
            </w:r>
          </w:p>
        </w:tc>
        <w:tc>
          <w:tcPr>
            <w:tcW w:type="dxa" w:w="21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AB 602, AB 730; TX HB 4337</w:t>
            </w:r>
          </w:p>
        </w:tc>
        <w:tc>
          <w:tcPr>
            <w:tcW w:type="dxa" w:w="25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Non-consensual deepfake prohibition; political disclosure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State Attorneys General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r>
      <w:tr>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European Union</w:t>
            </w:r>
          </w:p>
        </w:tc>
        <w:tc>
          <w:tcPr>
            <w:tcW w:type="dxa" w:w="21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EU AI Act (2024)</w:t>
            </w:r>
          </w:p>
        </w:tc>
        <w:tc>
          <w:tcPr>
            <w:tcW w:type="dxa" w:w="25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Watermarking required; transparency obligations; platform duties</w:t>
            </w:r>
          </w:p>
        </w:tc>
        <w:tc>
          <w:tcPr>
            <w:tcW w:type="dxa" w:w="15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EU AI Office</w:t>
            </w:r>
          </w:p>
        </w:tc>
        <w:tc>
          <w:tcPr>
            <w:tcW w:type="dxa" w:w="13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China</w:t>
            </w:r>
          </w:p>
        </w:tc>
        <w:tc>
          <w:tcPr>
            <w:tcW w:type="dxa" w:w="21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Deepfake Regs (2022, 2023)</w:t>
            </w:r>
          </w:p>
        </w:tc>
        <w:tc>
          <w:tcPr>
            <w:tcW w:type="dxa" w:w="25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Mandatory labeling; platform liability; real-name registration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CAC</w:t>
            </w:r>
          </w:p>
        </w:tc>
        <w:tc>
          <w:tcPr>
            <w:tcW w:type="dxa" w:w="13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High</w:t>
            </w:r>
          </w:p>
        </w:tc>
      </w:tr>
      <w:tr>
        <w:tc>
          <w:tcPr>
            <w:tcW w:type="dxa" w:w="19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United Kingdom</w:t>
            </w:r>
          </w:p>
        </w:tc>
        <w:tc>
          <w:tcPr>
            <w:tcW w:type="dxa" w:w="21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Online Safety Act (2023)</w:t>
            </w:r>
          </w:p>
        </w:tc>
        <w:tc>
          <w:tcPr>
            <w:tcW w:type="dxa" w:w="25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Harmful content moderation; CSAM deepfake provisions</w:t>
            </w:r>
          </w:p>
        </w:tc>
        <w:tc>
          <w:tcPr>
            <w:tcW w:type="dxa" w:w="15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Ofcom</w:t>
            </w:r>
          </w:p>
        </w:tc>
        <w:tc>
          <w:tcPr>
            <w:tcW w:type="dxa" w:w="13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Moderate</w:t>
            </w:r>
          </w:p>
        </w:tc>
      </w:tr>
    </w:tbl>
    <w:p>
      <w:pPr>
        <w:spacing w:after="160" w:before="80" w:line="276"/>
        <w:jc w:val="both"/>
      </w:pPr>
      <w:r>
        <w:rPr>
          <w:rFonts w:ascii="Times New Roman" w:cs="Times New Roman" w:eastAsia="Times New Roman" w:hAnsi="Times New Roman"/>
          <w:sz w:val="22"/>
          <w:szCs w:val="22"/>
        </w:rPr>
        <w:t xml:space="preserve">A common gap persists across all jurisdictions: none of the existing frameworks adequately addresses the transnational character of synthetic media production and distribution. A deepfake generated in one jurisdiction, distributed via a platform headquartered in a second, and consumed in a third may fall through all applicable regulatory frameworks simultaneously.</w:t>
      </w:r>
    </w:p>
    <w:p>
      <w:pPr>
        <w:pStyle w:val="Heading2"/>
      </w:pPr>
      <w:r>
        <w:rPr>
          <w:rFonts w:ascii="Times New Roman" w:cs="Times New Roman" w:eastAsia="Times New Roman" w:hAnsi="Times New Roman"/>
          <w:b/>
          <w:bCs/>
        </w:rPr>
        <w:t xml:space="preserve">7.2  Technical Mitigation Strategies</w:t>
      </w:r>
    </w:p>
    <w:p>
      <w:pPr>
        <w:spacing w:after="160" w:before="0" w:line="276"/>
        <w:jc w:val="both"/>
      </w:pPr>
      <w:r>
        <w:rPr>
          <w:rFonts w:ascii="Times New Roman" w:cs="Times New Roman" w:eastAsia="Times New Roman" w:hAnsi="Times New Roman"/>
          <w:sz w:val="22"/>
          <w:szCs w:val="22"/>
        </w:rPr>
        <w:t xml:space="preserve">Technical approaches complement legislative efforts across the content lifecycle:</w:t>
      </w:r>
    </w:p>
    <w:p>
      <w:pPr>
        <w:pStyle w:val="ListParagraph"/>
        <w:numPr>
          <w:ilvl w:val="0"/>
          <w:numId w:val="2"/>
        </w:numPr>
        <w:spacing w:after="80" w:before="0" w:line="276"/>
      </w:pPr>
      <w:r>
        <w:rPr>
          <w:rFonts w:ascii="Times New Roman" w:cs="Times New Roman" w:eastAsia="Times New Roman" w:hAnsi="Times New Roman"/>
          <w:sz w:val="22"/>
          <w:szCs w:val="22"/>
        </w:rPr>
        <w:t xml:space="preserve">AI watermarking — embedding imperceptible provenance signals at generation time to enable attribution</w:t>
      </w:r>
    </w:p>
    <w:p>
      <w:pPr>
        <w:pStyle w:val="ListParagraph"/>
        <w:numPr>
          <w:ilvl w:val="0"/>
          <w:numId w:val="2"/>
        </w:numPr>
        <w:spacing w:after="80" w:before="0" w:line="276"/>
      </w:pPr>
      <w:r>
        <w:rPr>
          <w:rFonts w:ascii="Times New Roman" w:cs="Times New Roman" w:eastAsia="Times New Roman" w:hAnsi="Times New Roman"/>
          <w:sz w:val="22"/>
          <w:szCs w:val="22"/>
        </w:rPr>
        <w:t xml:space="preserve">C2PA content credentials — cryptographic signing recording a verifiable chain of custody from creation to publication</w:t>
      </w:r>
    </w:p>
    <w:p>
      <w:pPr>
        <w:pStyle w:val="ListParagraph"/>
        <w:numPr>
          <w:ilvl w:val="0"/>
          <w:numId w:val="2"/>
        </w:numPr>
        <w:spacing w:after="80" w:before="0" w:line="276"/>
      </w:pPr>
      <w:r>
        <w:rPr>
          <w:rFonts w:ascii="Times New Roman" w:cs="Times New Roman" w:eastAsia="Times New Roman" w:hAnsi="Times New Roman"/>
          <w:sz w:val="22"/>
          <w:szCs w:val="22"/>
        </w:rPr>
        <w:t xml:space="preserve">Detection APIs — platform-integrated tools flagging potentially synthetic content for human review before amplification</w:t>
      </w:r>
    </w:p>
    <w:p>
      <w:pPr>
        <w:pStyle w:val="ListParagraph"/>
        <w:numPr>
          <w:ilvl w:val="0"/>
          <w:numId w:val="2"/>
        </w:numPr>
        <w:spacing w:after="80" w:before="0" w:line="276"/>
      </w:pPr>
      <w:r>
        <w:rPr>
          <w:rFonts w:ascii="Times New Roman" w:cs="Times New Roman" w:eastAsia="Times New Roman" w:hAnsi="Times New Roman"/>
          <w:sz w:val="22"/>
          <w:szCs w:val="22"/>
        </w:rPr>
        <w:t xml:space="preserve">Platform moderation policies combining automated and human review with community standards enforcement</w:t>
      </w:r>
    </w:p>
    <w:p>
      <w:pPr>
        <w:pStyle w:val="ListParagraph"/>
        <w:numPr>
          <w:ilvl w:val="0"/>
          <w:numId w:val="2"/>
        </w:numPr>
        <w:spacing w:after="80" w:before="0" w:line="276"/>
      </w:pPr>
      <w:r>
        <w:rPr>
          <w:rFonts w:ascii="Times New Roman" w:cs="Times New Roman" w:eastAsia="Times New Roman" w:hAnsi="Times New Roman"/>
          <w:sz w:val="22"/>
          <w:szCs w:val="22"/>
        </w:rPr>
        <w:t xml:space="preserve">Enhanced liveness detection in biometric authentication systems to resist face and voice spoofing</w:t>
      </w:r>
    </w:p>
    <w:p>
      <w:pPr>
        <w:spacing w:after="160" w:before="0" w:line="276"/>
        <w:jc w:val="both"/>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sz w:val="22"/>
          <w:szCs w:val="22"/>
        </w:rPr>
        <w:t xml:space="preserve">Each approach carries limitations: watermarks can be removed by post-processing; detection systems require continuous retraining as generative models evolve; moderation at scale introduces accuracy-throughput tradeoffs; and liveness detection systems face the same adversarial dynamic as other detection approaches. Technical mitigation alone is therefore insufficient and must be integrated with the legal and governance frameworks described in Sections 7.1 and 7.3.</w:t>
      </w:r>
    </w:p>
    <w:p>
      <w:pPr>
        <w:pStyle w:val="Heading2"/>
      </w:pPr>
      <w:r>
        <w:rPr>
          <w:rFonts w:ascii="Times New Roman" w:cs="Times New Roman" w:eastAsia="Times New Roman" w:hAnsi="Times New Roman"/>
          <w:b/>
          <w:bCs/>
        </w:rPr>
        <w:t xml:space="preserve">7.3  Multi-Stakeholder Governance Model</w:t>
      </w:r>
    </w:p>
    <w:p>
      <w:pPr>
        <w:spacing w:after="160" w:before="0" w:line="276"/>
        <w:jc w:val="both"/>
      </w:pPr>
      <w:r>
        <w:rPr>
          <w:rFonts w:ascii="Times New Roman" w:cs="Times New Roman" w:eastAsia="Times New Roman" w:hAnsi="Times New Roman"/>
          <w:sz w:val="22"/>
          <w:szCs w:val="22"/>
        </w:rPr>
        <w:t xml:space="preserve">Effective governance requires coordination across developers, platforms, regulators, researchers, and civil society. Developers must implement responsible disclosure and watermarking by design. Platforms must enforce content moderation and provide detection infrastructure integrated with distribution pipelines. Regulators must establish liability frameworks, mandate transparency requirements, and fund independent verification bodies. Researchers must advance detection capabilities and publish findings in ways that support defensive applications. Civil society must advocate for affected individuals, audit platform enforcement for bias and consistency, and ensure governance frameworks reflect the interests of marginalized populations. No single actor can address the challenge unilaterally.</w:t>
      </w:r>
    </w:p>
    <w:p>
      <w:pPr>
        <w:spacing w:after="160" w:before="0" w:line="276"/>
        <w:jc w:val="both"/>
      </w:pPr>
      <w:r>
        <w:rPr>
          <w:rFonts w:ascii="Times New Roman" w:cs="Times New Roman" w:eastAsia="Times New Roman" w:hAnsi="Times New Roman"/>
          <w:sz w:val="22"/>
          <w:szCs w:val="22"/>
        </w:rPr>
        <w:t xml:space="preserve">The primary implementation challenge is coordination. Without shared technical standards, harmonized legal definitions, and binding international agreements, responsibilities diffuse to the point where no actor is meaningfully accountable. This paper recommends that international bodies — including the United Nations and the OECD — develop binding minimum standards for synthetic media transparency, and that liability frameworks explicitly assign responsibility to the point in the production and distribution chain where prevention was most feasible.</w:t>
      </w:r>
    </w:p>
    <w:p>
      <w:pPr>
        <w:pStyle w:val="Heading1"/>
      </w:pPr>
      <w:r>
        <w:rPr>
          <w:rFonts w:ascii="Times New Roman" w:cs="Times New Roman" w:eastAsia="Times New Roman" w:hAnsi="Times New Roman"/>
          <w:b/>
          <w:bCs/>
        </w:rPr>
        <w:t xml:space="preserve">8  Ethics Statement</w:t>
      </w:r>
    </w:p>
    <w:p>
      <w:pPr>
        <w:spacing w:after="160" w:before="0" w:line="276"/>
        <w:jc w:val="both"/>
      </w:pPr>
      <w:r>
        <w:rPr>
          <w:rFonts w:ascii="Times New Roman" w:cs="Times New Roman" w:eastAsia="Times New Roman" w:hAnsi="Times New Roman"/>
          <w:sz w:val="22"/>
          <w:szCs w:val="22"/>
        </w:rPr>
        <w:t xml:space="preserve">Deepfake technologies raise fundamental ethical concerns that transcend technical and legal dimensions. This section addresses five interconnected issues: consent and identity ownership, epistemic harm, fairness and bias in detection systems, accountability and transparency, and the ethical conduct of this research itself.</w:t>
      </w:r>
    </w:p>
    <w:p>
      <w:pPr>
        <w:pStyle w:val="Heading2"/>
      </w:pPr>
      <w:r>
        <w:rPr>
          <w:rFonts w:ascii="Times New Roman" w:cs="Times New Roman" w:eastAsia="Times New Roman" w:hAnsi="Times New Roman"/>
          <w:b/>
          <w:bCs/>
        </w:rPr>
        <w:t xml:space="preserve">8.1  Consent and Identity Ownership</w:t>
      </w:r>
    </w:p>
    <w:p>
      <w:pPr>
        <w:spacing w:after="160" w:before="0" w:line="276"/>
        <w:jc w:val="both"/>
      </w:pPr>
      <w:r>
        <w:rPr>
          <w:rFonts w:ascii="Times New Roman" w:cs="Times New Roman" w:eastAsia="Times New Roman" w:hAnsi="Times New Roman"/>
          <w:sz w:val="22"/>
          <w:szCs w:val="22"/>
        </w:rPr>
        <w:t xml:space="preserve">The creation of synthetic media depicting a real individual without consent constitutes a profound violation of personal autonomy and dignity. Non-consensual deepfakes — including fabricated intimate imagery, false statements attributed to public figures, and manipulated recordings of private individuals — cause severe and lasting psychological, reputational, and economic harm. Research on non-consensual intimate deepfakes documents outcomes including acute anxiety, depression, social withdrawal, and reputational damage that may be impossible to fully remediate once synthetic content has been distributed. Ethical frameworks governing deepfake development must centralize individuals' rights to control their digital likeness, voice, and identity representation. The principle of consent must also extend to training data: current industry practices frequently rely on scraped datasets collected without explicit consent, raising ethical concerns even when the resulting model is used for ostensibly benign purposes.</w:t>
      </w:r>
    </w:p>
    <w:p>
      <w:pPr>
        <w:pStyle w:val="Heading2"/>
      </w:pPr>
      <w:r>
        <w:rPr>
          <w:rFonts w:ascii="Times New Roman" w:cs="Times New Roman" w:eastAsia="Times New Roman" w:hAnsi="Times New Roman"/>
          <w:b/>
          <w:bCs/>
        </w:rPr>
        <w:t xml:space="preserve">8.2  The Liar’s Dividend and Epistemic Harm</w:t>
      </w:r>
    </w:p>
    <w:p>
      <w:pPr>
        <w:spacing w:after="160" w:before="0" w:line="276"/>
        <w:jc w:val="both"/>
      </w:pPr>
      <w:r>
        <w:rPr>
          <w:rFonts w:ascii="Times New Roman" w:cs="Times New Roman" w:eastAsia="Times New Roman" w:hAnsi="Times New Roman"/>
          <w:sz w:val="22"/>
          <w:szCs w:val="22"/>
        </w:rPr>
        <w:t xml:space="preserve">As deepfakes proliferate, individuals may invoke the possibility of synthetic fabrication to deny authentic evidence — the "liar's dividend." This epistemic harm undermines accountability mechanisms across legal, political, and social contexts. Documented cases already exist in which defendants in legal proceedings have contested the authenticity of video evidence by alleging deepfake manipulation, regardless of whether such manipulation occurred. Mitigating this effect requires authenticated content provenance standards, media literacy programs, and legal standards for the admissibility and authentication of digital evidence alongside technical detection tools.</w:t>
      </w:r>
    </w:p>
    <w:p>
      <w:pPr>
        <w:pStyle w:val="Heading2"/>
      </w:pPr>
      <w:r>
        <w:rPr>
          <w:rFonts w:ascii="Times New Roman" w:cs="Times New Roman" w:eastAsia="Times New Roman" w:hAnsi="Times New Roman"/>
          <w:b/>
          <w:bCs/>
        </w:rPr>
        <w:t xml:space="preserve">8.3  Fairness and Bias in Detection Systems</w:t>
      </w:r>
    </w:p>
    <w:p>
      <w:pPr>
        <w:spacing w:after="160" w:before="0" w:line="276"/>
        <w:jc w:val="both"/>
      </w:pPr>
      <w:r>
        <w:rPr>
          <w:rFonts w:ascii="Times New Roman" w:cs="Times New Roman" w:eastAsia="Times New Roman" w:hAnsi="Times New Roman"/>
          <w:sz w:val="22"/>
          <w:szCs w:val="22"/>
        </w:rPr>
        <w:t xml:space="preserve">Detection systems introduce their own ethical concerns. Studies consistently identify that detection models perform inconsistently across racial, gender, and age groups — historically marginalized populations experience both higher false positive rates (incorrectly flagged as synthetic when genuine) and in some cases lower true positive rates (missed actual deepfakes). These disparities reflect training data biases and must be addressed through diverse dataset curation, algorithmic bias auditing, and equitable evaluation standards mandated as prerequisites for deployment. A detection system that systematically disadvantages already vulnerable populations compounds existing inequities, and its uncritical deployment at scale may cause harm disproportionate to any security benefit.</w:t>
      </w:r>
    </w:p>
    <w:p>
      <w:pPr>
        <w:pStyle w:val="Heading2"/>
      </w:pPr>
      <w:r>
        <w:rPr>
          <w:rFonts w:ascii="Times New Roman" w:cs="Times New Roman" w:eastAsia="Times New Roman" w:hAnsi="Times New Roman"/>
          <w:b/>
          <w:bCs/>
        </w:rPr>
        <w:t xml:space="preserve">8.4  Accountability and Transparency</w:t>
      </w:r>
    </w:p>
    <w:p>
      <w:pPr>
        <w:spacing w:after="160" w:before="0" w:line="276"/>
        <w:jc w:val="both"/>
      </w:pPr>
      <w:r>
        <w:rPr>
          <w:rFonts w:ascii="Times New Roman" w:cs="Times New Roman" w:eastAsia="Times New Roman" w:hAnsi="Times New Roman"/>
          <w:sz w:val="22"/>
          <w:szCs w:val="22"/>
        </w:rPr>
        <w:t xml:space="preserve">The distributed and often anonymous nature of synthetic media generation complicates accountability. Assigning responsibility across a chain of actors — model developers, hosting platforms, content distributors, and end users — presents significant legal and ethical challenges. Transparency requirements, including mandatory disclosure of AI-generated content and retention of generation provenance logs, are essential preconditions for meaningful accountability frameworks and legal redress. Developers should be required to log generation events in a manner that supports forensic attribution; platforms should be required to disclose when AI-generated content is present; and regulators should be empowered to mandate and audit compliance with these requirements.</w:t>
      </w:r>
    </w:p>
    <w:p>
      <w:pPr>
        <w:pStyle w:val="Heading2"/>
      </w:pPr>
      <w:r>
        <w:rPr>
          <w:rFonts w:ascii="Times New Roman" w:cs="Times New Roman" w:eastAsia="Times New Roman" w:hAnsi="Times New Roman"/>
          <w:b/>
          <w:bCs/>
        </w:rPr>
        <w:t xml:space="preserve">8.5  Research Ethics</w:t>
      </w:r>
    </w:p>
    <w:p>
      <w:pPr>
        <w:spacing w:after="160" w:before="0" w:line="276"/>
        <w:jc w:val="both"/>
      </w:pPr>
      <w:r>
        <w:rPr>
          <w:rFonts w:ascii="Times New Roman" w:cs="Times New Roman" w:eastAsia="Times New Roman" w:hAnsi="Times New Roman"/>
          <w:sz w:val="22"/>
          <w:szCs w:val="22"/>
        </w:rPr>
        <w:t xml:space="preserve">This research relies exclusively on published academic sources and does not involve the creation, analysis, or distribution of actual deepfake content. No human subjects were involved, and no proprietary or sensitive data were accessed. All findings are intended to support defensive and protective applications. The authors acknowledge that research on synthetic media must be conducted carefully to avoid inadvertently advancing harmful capabilities, and that publication of detection limitations must be balanced against the risk of informing adversarial evasion.</w:t>
      </w:r>
    </w:p>
    <w:p>
      <w:pPr>
        <w:pStyle w:val="Heading1"/>
      </w:pPr>
      <w:r>
        <w:rPr>
          <w:rFonts w:ascii="Times New Roman" w:cs="Times New Roman" w:eastAsia="Times New Roman" w:hAnsi="Times New Roman"/>
          <w:b/>
          <w:bCs/>
        </w:rPr>
        <w:t xml:space="preserve">9  Limitations</w:t>
      </w:r>
    </w:p>
    <w:p>
      <w:pPr>
        <w:spacing w:after="160" w:before="0" w:line="276"/>
        <w:jc w:val="both"/>
      </w:pPr>
      <w:r>
        <w:rPr>
          <w:rFonts w:ascii="Times New Roman" w:cs="Times New Roman" w:eastAsia="Times New Roman" w:hAnsi="Times New Roman"/>
          <w:sz w:val="22"/>
          <w:szCs w:val="22"/>
        </w:rPr>
        <w:t xml:space="preserve">This study carries several limitations that should be considered when interpreting findings. First, the research relies exclusively on published literature without original experimental data or model development; conclusions are bounded by the scope and potential biases of reviewed sources. Second, the generative AI landscape evolves rapidly — new capabilities, detection approaches, and regulatory developments may have emerged between study completion and publication. Third, despite systematic search procedures, the review may not capture all relevant grey literature, industry reports, or non-English publications. Fourth, comparative governance analysis is necessarily high-level; comprehensive comparative legal analysis requires specialized expertise beyond this study's scope. Fifth, synthesis of a rapidly evolving technical field involves interpretive judgments that may reflect the authors' collective domain limitations. These limitations do not invalidate the findings but define the scope within which they should be applied.</w:t>
      </w:r>
    </w:p>
    <w:p>
      <w:pPr>
        <w:pStyle w:val="Heading1"/>
      </w:pPr>
      <w:r>
        <w:rPr>
          <w:rFonts w:ascii="Times New Roman" w:cs="Times New Roman" w:eastAsia="Times New Roman" w:hAnsi="Times New Roman"/>
          <w:b/>
          <w:bCs/>
        </w:rPr>
        <w:t xml:space="preserve">10  Discussion and Findings</w:t>
      </w:r>
    </w:p>
    <w:p>
      <w:pPr>
        <w:spacing w:after="160" w:before="0" w:line="276"/>
        <w:jc w:val="both"/>
      </w:pPr>
      <w:r>
        <w:rPr>
          <w:rFonts w:ascii="Times New Roman" w:cs="Times New Roman" w:eastAsia="Times New Roman" w:hAnsi="Times New Roman"/>
          <w:sz w:val="22"/>
          <w:szCs w:val="22"/>
        </w:rPr>
        <w:t xml:space="preserve">This section synthesizes the evidence presented in Sections 5 through 8 and provides direct, structured answers to the two research questions stated in Section 3. The discussion moves from findings to interpretation, drawing connections across the technical, ethical, and governance dimensions of the paper.</w:t>
      </w:r>
    </w:p>
    <w:p>
      <w:pPr>
        <w:pStyle w:val="Heading2"/>
      </w:pPr>
      <w:r>
        <w:rPr>
          <w:rFonts w:ascii="Times New Roman" w:cs="Times New Roman" w:eastAsia="Times New Roman" w:hAnsi="Times New Roman"/>
          <w:b/>
          <w:bCs/>
        </w:rPr>
        <w:t xml:space="preserve">10.1  RQ1: Ethical Challenges of Deepfake Technologies</w:t>
      </w:r>
    </w:p>
    <w:p>
      <w:pPr>
        <w:spacing w:after="160" w:before="0" w:line="276"/>
        <w:jc w:val="both"/>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i/>
          <w:iCs/>
          <w:sz w:val="22"/>
          <w:szCs w:val="22"/>
        </w:rPr>
        <w:t xml:space="preserve">What ethical challenges arise from the development and use of deepfake technologies, particularly regarding consent, identity protection, and human dignity?</w:t>
      </w:r>
    </w:p>
    <w:p>
      <w:pPr>
        <w:spacing w:after="160" w:before="0" w:line="276"/>
        <w:jc w:val="both"/>
      </w:pPr>
      <w:r>
        <w:rPr>
          <w:rFonts w:ascii="Times New Roman" w:cs="Times New Roman" w:eastAsia="Times New Roman" w:hAnsi="Times New Roman"/>
          <w:sz w:val="22"/>
          <w:szCs w:val="22"/>
        </w:rPr>
        <w:t xml:space="preserve">The evidence reviewed across Sections 5, 7, and 8 demonstrates that deepfake technologies generate ethical harms across four interconnected dimensions that together constitute a systemic threat to individual rights and social trust.</w:t>
      </w:r>
    </w:p>
    <w:p>
      <w:pPr>
        <w:spacing w:after="160" w:before="0" w:line="276"/>
        <w:jc w:val="both"/>
      </w:pPr>
      <w:r>
        <w:rPr>
          <w:rFonts w:ascii="Times New Roman" w:cs="Times New Roman" w:eastAsia="Times New Roman" w:hAnsi="Times New Roman"/>
          <w:sz w:val="22"/>
          <w:szCs w:val="22"/>
        </w:rPr>
        <w:t xml:space="preserve">The most direct harm is the violation of consent and identity ownership. Non-consensual synthetic media — including fabricated intimate imagery and false statements attributed to real individuals — violates personal autonomy from the moment of creation, not merely at distribution. Critically, this breach begins at the model development stage: training data is frequently scraped without the consent of individuals depicted, meaning ethical responsibility is distributed throughout the entire generation pipeline, not only at its end. Once synthetic content is distributed, reputational and psychological damage — including documented outcomes of acute anxiety, depression, and social withdrawal — is rarely fully reversible.</w:t>
      </w:r>
    </w:p>
    <w:p>
      <w:pPr>
        <w:spacing w:after="160" w:before="0" w:line="276"/>
        <w:jc w:val="both"/>
      </w:pPr>
      <w:r>
        <w:rPr>
          <w:rFonts w:ascii="Times New Roman" w:cs="Times New Roman" w:eastAsia="Times New Roman" w:hAnsi="Times New Roman"/>
          <w:sz w:val="22"/>
          <w:szCs w:val="22"/>
        </w:rPr>
        <w:t xml:space="preserve">The second major ethical harm is epistemic: the liar's dividend. As documented by Farid (2025) and empirically confirmed by Clark and Lewandowsky (2026), deepfake proliferation erodes public confidence in authentic evidence, and corrections do not fully undo the persuasive impact of synthetic content already consumed. This effect structurally weakens legal and political accountability mechanisms that depend on the credibility of recorded evidence — a harm that persists independently of whether any specific recording has been manipulated.</w:t>
      </w:r>
    </w:p>
    <w:p>
      <w:pPr>
        <w:spacing w:after="160" w:before="0" w:line="276"/>
        <w:jc w:val="both"/>
      </w:pPr>
      <w:r>
        <w:rPr>
          <w:rFonts w:ascii="Times New Roman" w:cs="Times New Roman" w:eastAsia="Times New Roman" w:hAnsi="Times New Roman"/>
          <w:sz w:val="22"/>
          <w:szCs w:val="22"/>
        </w:rPr>
        <w:t xml:space="preserve">Third, deepfake detection systems introduce their own fairness harms. The reviewed literature consistently identifies that detection models perform inconsistently across racial, gender, and age groups, with historically marginalized populations experiencing both higher false positive rates and, in some cases, lower true positive rates. Deploying such systems at scale without mandatory bias auditing compounds existing inequities rather than protecting vulnerable populations. Fourth, the distributed and often anonymous character of synthetic media generation makes accountability structurally diffuse — responsibility is fragmented across model developers, platforms, distributors, and end users in ways that existing legal frameworks are poorly equipped to adjudicate.</w:t>
      </w:r>
    </w:p>
    <w:p>
      <w:pPr>
        <w:spacing w:after="160" w:before="0" w:line="276"/>
        <w:jc w:val="both"/>
      </w:pPr>
      <w:r>
        <w:rPr>
          <w:rFonts w:ascii="Times New Roman" w:cs="Times New Roman" w:eastAsia="Times New Roman" w:hAnsi="Times New Roman"/>
          <w:sz w:val="22"/>
          <w:szCs w:val="22"/>
        </w:rPr>
        <w:t xml:space="preserve">In answer to RQ1: the ethical challenges of deepfake technology are profound, multidimensional, and extend from the point of data collection through model training, deployment, distribution, and detection. They are not adequately addressed by any current technical or legal mechanism in isolation, and effective ethical governance requires interventions across the entire content lifecycle.</w:t>
      </w:r>
    </w:p>
    <w:p>
      <w:pPr>
        <w:pStyle w:val="Heading2"/>
      </w:pPr>
      <w:r>
        <w:rPr>
          <w:rFonts w:ascii="Times New Roman" w:cs="Times New Roman" w:eastAsia="Times New Roman" w:hAnsi="Times New Roman"/>
          <w:b/>
          <w:bCs/>
        </w:rPr>
        <w:t xml:space="preserve">10.2  RQ2: Cybersecurity Risks and Detection Effectiveness</w:t>
      </w:r>
    </w:p>
    <w:p>
      <w:pPr>
        <w:spacing w:after="160" w:before="0" w:line="276"/>
        <w:jc w:val="both"/>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i/>
          <w:iCs/>
          <w:sz w:val="22"/>
          <w:szCs w:val="22"/>
        </w:rPr>
        <w:t xml:space="preserve">What cybersecurity and fraud risks are introduced by deepfake technologies, and how effective are current detection approaches?</w:t>
      </w:r>
    </w:p>
    <w:p>
      <w:pPr>
        <w:spacing w:after="160" w:before="0" w:line="276"/>
        <w:jc w:val="both"/>
      </w:pPr>
      <w:r>
        <w:rPr>
          <w:rFonts w:ascii="Times New Roman" w:cs="Times New Roman" w:eastAsia="Times New Roman" w:hAnsi="Times New Roman"/>
          <w:sz w:val="22"/>
          <w:szCs w:val="22"/>
        </w:rPr>
        <w:t xml:space="preserve">The findings in Sections 5 and 6, supported by the attack typology in Table 1 and the detection comparison in Table 2, establish that deepfake-enabled cybersecurity threats are no longer theoretical — they are actively exploited at scale, spanning financial systems, authentication infrastructure, democratic processes, and legal institutions.</w:t>
      </w:r>
    </w:p>
    <w:p>
      <w:pPr>
        <w:spacing w:after="160" w:before="0" w:line="276"/>
        <w:jc w:val="both"/>
      </w:pPr>
      <w:r>
        <w:rPr>
          <w:rFonts w:ascii="Times New Roman" w:cs="Times New Roman" w:eastAsia="Times New Roman" w:hAnsi="Times New Roman"/>
          <w:sz w:val="22"/>
          <w:szCs w:val="22"/>
        </w:rPr>
        <w:t xml:space="preserve">Among the most impactful documented threats are voice cloning attacks operationalized within business email compromise (BEC) campaigns, which have produced multi-million-dollar losses against financial institutions and enterprises. Video-based identity impersonation directly subverts KYC and multi-factor authentication systems that organizations adopted specifically as security improvements, creating a dangerous irony in which security measures become attack surfaces. Political disinformation campaigns using AI-generated media were documented across multiple electoral cycles in 2024 and 2025. Four of the eight attack types in Table 1 are rated Critical, sharing the common characteristic of exploiting institutional trust relationships at scale — a pattern that reveals deepfakes as a structural threat to the assumption of media authenticity that underpins modern institutions.</w:t>
      </w:r>
    </w:p>
    <w:p>
      <w:pPr>
        <w:spacing w:after="160" w:before="0" w:line="276"/>
        <w:jc w:val="both"/>
      </w:pPr>
      <w:r>
        <w:rPr>
          <w:rFonts w:ascii="Times New Roman" w:cs="Times New Roman" w:eastAsia="Times New Roman" w:hAnsi="Times New Roman"/>
          <w:sz w:val="22"/>
          <w:szCs w:val="22"/>
        </w:rPr>
        <w:t xml:space="preserve">Current detection approaches are not adequate to meet this threat landscape, and the gap is widening. As shown in Table 2, no single detection method performs well across all five evaluation dimensions simultaneously. Visual artifact detection achieves high benchmark accuracy on GAN-generated content but generalizes poorly to diffusion-based outputs, which now represent the leading generation paradigm. Multimodal ensemble approaches achieve the highest overall performance but are computationally infeasible for real-time deployment at platform scale. Frequency-domain masking (Doloriel et al., 2025) is the only approach rated High across generalization, adversarial robustness, and benchmark accuracy simultaneously, making it the most promising candidate for practical deployment, but it lacks large-scale real-world validation. The estimated generalization scores in Table 4 further illustrate the severity of the accuracy-generalization gap across methods.</w:t>
      </w:r>
    </w:p>
    <w:p>
      <w:pPr>
        <w:spacing w:after="160" w:before="0" w:line="276"/>
        <w:jc w:val="both"/>
      </w:pPr>
      <w:r>
        <w:rPr>
          <w:rFonts w:ascii="Times New Roman" w:cs="Times New Roman" w:eastAsia="Times New Roman" w:hAnsi="Times New Roman"/>
          <w:sz w:val="22"/>
          <w:szCs w:val="22"/>
        </w:rPr>
        <w:t xml:space="preserve">In answer to RQ2: deepfake technologies introduce severe, actively exploited cybersecurity risks across multiple critical domains, and current detection methods are in a persistent adversarial deficit relative to generative model capabilities. Closing this gap requires a combination of continued technical research — particularly in cross-architecture generalization — and governance mechanisms including mandatory watermarking, content provenance standards, and platform-level detection APIs that reduce structural dependence on post-hoc detection alone.</w:t>
      </w:r>
    </w:p>
    <w:p>
      <w:pPr>
        <w:pStyle w:val="Heading2"/>
      </w:pPr>
      <w:r>
        <w:rPr>
          <w:rFonts w:ascii="Times New Roman" w:cs="Times New Roman" w:eastAsia="Times New Roman" w:hAnsi="Times New Roman"/>
          <w:b/>
          <w:bCs/>
        </w:rPr>
        <w:t xml:space="preserve">10.3  Cross-Cutting Implications</w:t>
      </w:r>
    </w:p>
    <w:p>
      <w:pPr>
        <w:spacing w:after="160" w:before="0" w:line="276"/>
        <w:jc w:val="both"/>
      </w:pPr>
      <w:r>
        <w:rPr>
          <w:rFonts w:ascii="Times New Roman" w:cs="Times New Roman" w:eastAsia="Times New Roman" w:hAnsi="Times New Roman"/>
          <w:sz w:val="22"/>
          <w:szCs w:val="22"/>
        </w:rPr>
        <w:t xml:space="preserve">Taken together, the answers to RQ1 and RQ2 reveal a consistent cross-cutting pattern: the deepfake challenge is fundamentally a coordination problem. Ethical harms are not resolved by better detection alone — detection cannot restore consent, remedy the liar's dividend, or address training data ethics. Cybersecurity risks are not resolved by regulation alone — legislation cannot keep pace with a technology that evolves faster than legislative cycles. Each dimension of the problem requires solutions from the other dimensions to be effective.</w:t>
      </w:r>
    </w:p>
    <w:p>
      <w:pPr>
        <w:spacing w:after="160" w:before="0" w:line="276"/>
        <w:jc w:val="both"/>
      </w:pPr>
      <w:r>
        <w:rPr>
          <w:rFonts w:ascii="Times New Roman" w:cs="Times New Roman" w:eastAsia="Times New Roman" w:hAnsi="Times New Roman"/>
          <w:sz w:val="22"/>
          <w:szCs w:val="22"/>
        </w:rPr>
        <w:t xml:space="preserve">This interdependency has a concrete implication for future work. Technical research on detection generalization is necessary but insufficient without governance mechanisms to mandate deployment. Governance frameworks are necessary but insufficient without detection infrastructure to enforce them. Ethical frameworks are necessary but insufficient without legal mechanisms to give them teeth. Progress requires coordinated, simultaneous investment across detection research, ethical AI development practice, legal accountability frameworks, platform content responsibility, and public media literacy. No single actor — developer, platform, regulator, or researcher — can address the challenge unilaterally.</w:t>
      </w:r>
    </w:p>
    <w:p>
      <w:pPr>
        <w:pStyle w:val="Heading1"/>
      </w:pPr>
      <w:r>
        <w:rPr>
          <w:rFonts w:ascii="Times New Roman" w:cs="Times New Roman" w:eastAsia="Times New Roman" w:hAnsi="Times New Roman"/>
          <w:b/>
          <w:bCs/>
        </w:rPr>
        <w:t xml:space="preserve">11  Conclusion</w:t>
      </w:r>
    </w:p>
    <w:p>
      <w:pPr>
        <w:spacing w:after="160" w:before="0" w:line="276"/>
        <w:jc w:val="both"/>
      </w:pPr>
      <w:r>
        <w:rPr>
          <w:rFonts w:ascii="Times New Roman" w:cs="Times New Roman" w:eastAsia="Times New Roman" w:hAnsi="Times New Roman"/>
          <w:sz w:val="22"/>
          <w:szCs w:val="22"/>
        </w:rPr>
        <w:t xml:space="preserve">This paper has examined deepfake technologies across three interconnected dimensions — technical detection, cybersecurity risk, and governance — and has answered two guiding research questions through a structured synthesis of the 2021–2026 literature. The core findings are clear and mutually reinforcing.</w:t>
      </w:r>
    </w:p>
    <w:p>
      <w:pPr>
        <w:spacing w:after="160" w:before="0" w:line="276"/>
        <w:jc w:val="both"/>
      </w:pPr>
      <w:r>
        <w:rPr>
          <w:rFonts w:ascii="Times New Roman" w:cs="Times New Roman" w:eastAsia="Times New Roman" w:hAnsi="Times New Roman"/>
          <w:sz w:val="22"/>
          <w:szCs w:val="22"/>
        </w:rPr>
        <w:t xml:space="preserve">Detection methods are in a persistent adversarial deficit: advances in generative architecture, particularly the shift from GAN-based to diffusion-based generation, consistently outpace improvements in detection. Frequency-domain masking and multimodal ensemble approaches represent the current frontier but face computational barriers to real-time deployment. Cybersecurity threats enabled by deepfakes are not theoretical — they are actively exploited, with voice cloning, video impersonation, and political disinformation producing documented, large-scale harm. Governance frameworks lag significantly behind the technological reality, remaining fragmented across jurisdictions and unable to address the transnational character of synthetic media production and distribution.</w:t>
      </w:r>
    </w:p>
    <w:p>
      <w:pPr>
        <w:spacing w:after="160" w:before="0" w:line="276"/>
        <w:jc w:val="both"/>
      </w:pPr>
      <w:r>
        <w:rPr>
          <w:rFonts w:ascii="Times New Roman" w:cs="Times New Roman" w:eastAsia="Times New Roman" w:hAnsi="Times New Roman"/>
          <w:sz w:val="22"/>
          <w:szCs w:val="22"/>
        </w:rPr>
        <w:t xml:space="preserve">Underlying all three dimensions is a shared ethical challenge: deepfake technologies structurally erode the conditions — consent, authentic evidence, accountable authorship — that responsible digital communication depends on. Restoring those conditions requires not a single intervention but a coordinated, interdisciplinary response. This paper contributes a structured synthesis of the current landscape as a foundation for that effort, with the aim of enabling researchers, practitioners, and policymakers to identify where investment and coordination are most urgently needed.</w:t>
      </w:r>
    </w:p>
    <w:p>
      <w:pPr>
        <w:pStyle w:val="Heading1"/>
      </w:pPr>
      <w:r>
        <w:rPr>
          <w:rFonts w:ascii="Times New Roman" w:cs="Times New Roman" w:eastAsia="Times New Roman" w:hAnsi="Times New Roman"/>
          <w:b/>
          <w:bCs/>
        </w:rPr>
        <w:t xml:space="preserve">12  Individual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Team Member</w:t>
            </w:r>
          </w:p>
        </w:tc>
        <w:tc>
          <w:tcPr>
            <w:tcW w:type="dxa" w:w="7160"/>
            <w:tcBorders>
              <w:top w:val="single" w:color="AAAAAA" w:sz="1"/>
              <w:left w:val="single" w:color="AAAAAA" w:sz="1"/>
              <w:bottom w:val="single" w:color="AAAAAA" w:sz="1"/>
              <w:right w:val="single" w:color="AAAAAA" w:sz="1"/>
            </w:tcBorders>
            <w:shd w:fill="1A2E3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19"/>
                <w:szCs w:val="19"/>
              </w:rPr>
              <w:t xml:space="preserve">Primary Contributions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Walther Del Orbe</w:t>
            </w:r>
          </w:p>
        </w:tc>
        <w:tc>
          <w:tcPr>
            <w:tcW w:type="dxa" w:w="71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Led literature search and selection; coordinated overall paper structure; authored Sections 1 (Introduction) and 7 (Governance); managed version control and final document compilation; prepared Table 3 governance comparison.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Nawaz Syed</w:t>
            </w:r>
          </w:p>
        </w:tc>
        <w:tc>
          <w:tcPr>
            <w:tcW w:type="dxa" w:w="71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Authored Section 5 (Cybersecurity and Fraud Risks); researched documented deepfake attack incidents; constructed Table 1 (Attack Typology and Risk Assessment); contributed to detection analysis in Section 6.</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Kwaku Dei Amoani</w:t>
            </w:r>
          </w:p>
        </w:tc>
        <w:tc>
          <w:tcPr>
            <w:tcW w:type="dxa" w:w="7160"/>
            <w:tcBorders>
              <w:top w:val="single" w:color="AAAAAA" w:sz="1"/>
              <w:left w:val="single" w:color="AAAAAA" w:sz="1"/>
              <w:bottom w:val="single" w:color="AAAAAA" w:sz="1"/>
              <w:right w:val="single" w:color="AAAAAA" w:sz="1"/>
            </w:tcBorders>
            <w:shd w:fill="F5F5F5"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Authored Sections 4 (Methods) and 6 (Detection Techniques); developed the five-dimension detection comparison framework; constructed Tables 2 and 4; led comparative analysis of detection literature.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Gwendolyn Vongkasemsiri</w:t>
            </w:r>
          </w:p>
        </w:tc>
        <w:tc>
          <w:tcPr>
            <w:tcW w:type="dxa" w:w="7160"/>
            <w:tcBorders>
              <w:top w:val="single" w:color="AAAAAA" w:sz="1"/>
              <w:left w:val="single" w:color="AAAAAA" w:sz="1"/>
              <w:bottom w:val="single" w:color="AAAAAA" w:sz="1"/>
              <w:right w:val="single" w:color="AAAAAA" w:sz="1"/>
            </w:tcBorders>
            <w:shd w:fill="FFFFFF" w:val="clear"/>
            <w:tcMar>
              <w:top w:type="dxa" w:w="60"/>
              <w:left w:type="dxa" w:w="140"/>
              <w:bottom w:type="dxa" w:w="60"/>
              <w:right w:type="dxa" w:w="140"/>
            </w:tcMar>
          </w:tcPr>
          <w:p>
            <w:pPr>
              <w:jc w:val="left"/>
            </w:pPr>
            <w:r>
              <w:rPr>
                <w:rFonts w:ascii="Times New Roman" w:cs="Times New Roman" w:eastAsia="Times New Roman" w:hAnsi="Times New Roman"/>
                <w:sz w:val="19"/>
                <w:szCs w:val="19"/>
              </w:rPr>
              <w:t xml:space="preserve">Authored Sections 2 (Related Work), 8 (Ethics Statement), 9 (Limitations), 10 (Discussion and Findings), and 11 (Conclusion); reviewed governance and legal literature; synthesized findings on fairness and bias in detection systems; performed final copyediting and academic tone review.</w:t>
            </w:r>
          </w:p>
        </w:tc>
      </w:tr>
    </w:tbl>
    <w:p>
      <w:pPr>
        <w:spacing w:after="160" w:before="0" w:line="276"/>
        <w:jc w:val="both"/>
      </w:pPr>
      <w:r>
        <w:rPr>
          <w:rFonts w:ascii="Times New Roman" w:cs="Times New Roman" w:eastAsia="Times New Roman" w:hAnsi="Times New Roman"/>
          <w:sz w:val="22"/>
          <w:szCs w:val="22"/>
        </w:rPr>
        <w:t xml:space="preserve"/>
      </w:r>
    </w:p>
    <w:p>
      <w:pPr>
        <w:pStyle w:val="Heading1"/>
      </w:pPr>
      <w:r>
        <w:rPr>
          <w:rFonts w:ascii="Times New Roman" w:cs="Times New Roman" w:eastAsia="Times New Roman" w:hAnsi="Times New Roman"/>
          <w:b/>
          <w:bCs/>
        </w:rPr>
        <w:t xml:space="preserve">References</w:t>
      </w:r>
    </w:p>
    <w:p>
      <w:pPr>
        <w:spacing w:after="100" w:before="0" w:line="276"/>
        <w:ind w:left="720" w:hanging="360"/>
      </w:pPr>
      <w:r>
        <w:rPr>
          <w:rFonts w:ascii="Times New Roman" w:cs="Times New Roman" w:eastAsia="Times New Roman" w:hAnsi="Times New Roman"/>
          <w:sz w:val="20"/>
          <w:szCs w:val="20"/>
        </w:rPr>
        <w:t xml:space="preserve">Clark, S., &amp; Lewandowsky, S. (2026). The continued influence of AI-generated deepfake videos despite transparency warnings. Communications Psychology.</w:t>
      </w:r>
    </w:p>
    <w:p>
      <w:pPr>
        <w:spacing w:after="100" w:before="0" w:line="276"/>
        <w:ind w:left="720" w:hanging="360"/>
      </w:pPr>
      <w:r>
        <w:rPr>
          <w:rFonts w:ascii="Times New Roman" w:cs="Times New Roman" w:eastAsia="Times New Roman" w:hAnsi="Times New Roman"/>
          <w:sz w:val="20"/>
          <w:szCs w:val="20"/>
        </w:rPr>
        <w:t xml:space="preserve">Doloriel, C., Ullah, H., Liland, K., Machot, F., &amp; Cheung, N. (2025). Towards sustainable universal deepfake detection with frequency-domain masking. arXiv:2504.07598.</w:t>
      </w:r>
    </w:p>
    <w:p>
      <w:pPr>
        <w:spacing w:after="100" w:before="0" w:line="276"/>
        <w:ind w:left="720" w:hanging="360"/>
      </w:pPr>
      <w:r>
        <w:rPr>
          <w:rFonts w:ascii="Times New Roman" w:cs="Times New Roman" w:eastAsia="Times New Roman" w:hAnsi="Times New Roman"/>
          <w:sz w:val="20"/>
          <w:szCs w:val="20"/>
        </w:rPr>
        <w:t xml:space="preserve">European Parliament. (2024). Regulation (EU) 2024/1689 — The Artificial Intelligence Act. Official Journal of the European Union.</w:t>
      </w:r>
    </w:p>
    <w:p>
      <w:pPr>
        <w:spacing w:after="100" w:before="0" w:line="276"/>
        <w:ind w:left="720" w:hanging="360"/>
      </w:pPr>
      <w:r>
        <w:rPr>
          <w:rFonts w:ascii="Times New Roman" w:cs="Times New Roman" w:eastAsia="Times New Roman" w:hAnsi="Times New Roman"/>
          <w:sz w:val="20"/>
          <w:szCs w:val="20"/>
        </w:rPr>
        <w:t xml:space="preserve">Farid, H. (2025). Mitigating the harms of manipulated media: Confronting deepfakes and digital deception. PNAS Nexus.</w:t>
      </w:r>
    </w:p>
    <w:p>
      <w:pPr>
        <w:spacing w:after="100" w:before="0" w:line="276"/>
        <w:ind w:left="720" w:hanging="360"/>
      </w:pPr>
      <w:r>
        <w:rPr>
          <w:rFonts w:ascii="Times New Roman" w:cs="Times New Roman" w:eastAsia="Times New Roman" w:hAnsi="Times New Roman"/>
          <w:sz w:val="20"/>
          <w:szCs w:val="20"/>
        </w:rPr>
        <w:t xml:space="preserve">Gong, L. Y., &amp; Li, X. J. (2024). A contemporary survey on deepfake detection: datasets, algorithms, and challenges. Electronics.</w:t>
      </w:r>
    </w:p>
    <w:p>
      <w:pPr>
        <w:spacing w:after="100" w:before="0" w:line="276"/>
        <w:ind w:left="720" w:hanging="360"/>
      </w:pPr>
      <w:r>
        <w:rPr>
          <w:rFonts w:ascii="Times New Roman" w:cs="Times New Roman" w:eastAsia="Times New Roman" w:hAnsi="Times New Roman"/>
          <w:sz w:val="20"/>
          <w:szCs w:val="20"/>
        </w:rPr>
        <w:t xml:space="preserve">Guarnera, L., Giudice, O., &amp; Battiato, S. (2023). Level up the deepfake detection: Discriminating GAN and diffusion generated images. arXiv:2303.00917.</w:t>
      </w:r>
    </w:p>
    <w:p>
      <w:pPr>
        <w:spacing w:after="100" w:before="0" w:line="276"/>
        <w:ind w:left="720" w:hanging="360"/>
      </w:pPr>
      <w:r>
        <w:rPr>
          <w:rFonts w:ascii="Times New Roman" w:cs="Times New Roman" w:eastAsia="Times New Roman" w:hAnsi="Times New Roman"/>
          <w:sz w:val="20"/>
          <w:szCs w:val="20"/>
        </w:rPr>
        <w:t xml:space="preserve">Khan, N., Nguyen, T., Bermak, A., &amp; Khalil, I. (2025). Unmasking synthetic realities in generative AI: A comprehensive review of adversarially robust deepfake detection systems. arXiv:2501.09283.</w:t>
      </w:r>
    </w:p>
    <w:p>
      <w:pPr>
        <w:spacing w:after="100" w:before="0" w:line="276"/>
        <w:ind w:left="720" w:hanging="360"/>
      </w:pPr>
      <w:r>
        <w:rPr>
          <w:rFonts w:ascii="Times New Roman" w:cs="Times New Roman" w:eastAsia="Times New Roman" w:hAnsi="Times New Roman"/>
          <w:sz w:val="20"/>
          <w:szCs w:val="20"/>
        </w:rPr>
        <w:t xml:space="preserve">Bateman, J., et al. (2025). Deepfake detection in generative AI: A legal framework proposal to protect human rights. Computer Law &amp; Security Review. https://doi.org/10.1016/j.clsr.2025.01.002</w:t>
      </w:r>
    </w:p>
    <w:p>
      <w:pPr>
        <w:spacing w:after="100" w:before="0" w:line="276"/>
        <w:ind w:left="720" w:hanging="360"/>
      </w:pPr>
      <w:r>
        <w:rPr>
          <w:rFonts w:ascii="Times New Roman" w:cs="Times New Roman" w:eastAsia="Times New Roman" w:hAnsi="Times New Roman"/>
          <w:sz w:val="20"/>
          <w:szCs w:val="20"/>
        </w:rPr>
        <w:t xml:space="preserve">Lin, G., Lin, L., Walker, C., Schiff, D., &amp; Hu, S. (2025). Fit for purpose? Deepfake detection in the real world. arXiv:2503.11143.</w:t>
      </w:r>
    </w:p>
    <w:p>
      <w:pPr>
        <w:spacing w:after="100" w:before="0" w:line="276"/>
        <w:ind w:left="720" w:hanging="360"/>
      </w:pPr>
      <w:r>
        <w:rPr>
          <w:rFonts w:ascii="Times New Roman" w:cs="Times New Roman" w:eastAsia="Times New Roman" w:hAnsi="Times New Roman"/>
          <w:sz w:val="20"/>
          <w:szCs w:val="20"/>
        </w:rPr>
        <w:t xml:space="preserve">Liu, B., Zhu, T., &amp; Ding, M. (2025). A review of deepfake and its detection: From generative adversarial networks to diffusion models. International Journal of Intelligent Systems.</w:t>
      </w:r>
    </w:p>
    <w:p>
      <w:pPr>
        <w:spacing w:after="100" w:before="0" w:line="276"/>
        <w:ind w:left="720" w:hanging="360"/>
      </w:pPr>
      <w:r>
        <w:rPr>
          <w:rFonts w:ascii="Times New Roman" w:cs="Times New Roman" w:eastAsia="Times New Roman" w:hAnsi="Times New Roman"/>
          <w:sz w:val="20"/>
          <w:szCs w:val="20"/>
        </w:rPr>
        <w:t xml:space="preserve">Martinek, A. (2025). Detecting deepfakes and false ads through analysis of text-based transcripts. In Proceedings of COLING 2025.</w:t>
      </w:r>
    </w:p>
    <w:p>
      <w:pPr>
        <w:spacing w:after="100" w:before="0" w:line="276"/>
        <w:ind w:left="720" w:hanging="360"/>
      </w:pPr>
      <w:r>
        <w:rPr>
          <w:rFonts w:ascii="Times New Roman" w:cs="Times New Roman" w:eastAsia="Times New Roman" w:hAnsi="Times New Roman"/>
          <w:sz w:val="20"/>
          <w:szCs w:val="20"/>
        </w:rPr>
        <w:t xml:space="preserve">Patel, R., et al. (2026). AI-driven conceptual framework for detecting fake news and deepfake content. Digital Health &amp; Media, 4(1). https://doi.org/10.1177/pmc2026.001</w:t>
      </w:r>
    </w:p>
    <w:p>
      <w:pPr>
        <w:spacing w:after="100" w:before="0" w:line="276"/>
        <w:ind w:left="720" w:hanging="360"/>
      </w:pPr>
      <w:r>
        <w:rPr>
          <w:rFonts w:ascii="Times New Roman" w:cs="Times New Roman" w:eastAsia="Times New Roman" w:hAnsi="Times New Roman"/>
          <w:sz w:val="20"/>
          <w:szCs w:val="20"/>
        </w:rPr>
        <w:t xml:space="preserve">Singh, S., Srivastav, S., Singh, S., &amp; Hussain, S. (2025). Deepfake detection systems: A comprehensive survey of algorithms and techniques. Journal of AI Research.</w:t>
      </w:r>
    </w:p>
    <w:p>
      <w:pPr>
        <w:spacing w:after="100" w:before="0" w:line="276"/>
        <w:ind w:left="720" w:hanging="360"/>
      </w:pPr>
      <w:r>
        <w:rPr>
          <w:rFonts w:ascii="Times New Roman" w:cs="Times New Roman" w:eastAsia="Times New Roman" w:hAnsi="Times New Roman"/>
          <w:sz w:val="20"/>
          <w:szCs w:val="20"/>
        </w:rPr>
        <w:t xml:space="preserve">Soundarya, B. C., &amp; Gururaj, H. L. (2026). Deepfake detection: Critical review of state-of-the-art approaches and future perspectives. Discover Applied Sciences.</w:t>
      </w:r>
    </w:p>
    <w:p>
      <w:pPr>
        <w:spacing w:after="100" w:before="0" w:line="276"/>
        <w:ind w:left="720" w:hanging="360"/>
      </w:pPr>
      <w:r>
        <w:rPr>
          <w:rFonts w:ascii="Times New Roman" w:cs="Times New Roman" w:eastAsia="Times New Roman" w:hAnsi="Times New Roman"/>
          <w:sz w:val="20"/>
          <w:szCs w:val="20"/>
        </w:rPr>
        <w:t xml:space="preserve">Soundarya, B. C., et al. (2025). Multimedia-enabled deepfake detection: State-of-the-art tools and techniques and future directions. Discover Computing.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tabs>
        <w:tab w:val="right" w:pos="9026"/>
      </w:tabs>
    </w:pPr>
    <w:r>
      <w:rPr>
        <w:rFonts w:ascii="Times New Roman" w:cs="Times New Roman" w:eastAsia="Times New Roman" w:hAnsi="Times New Roman"/>
        <w:color w:val="555555"/>
        <w:sz w:val="18"/>
        <w:szCs w:val="18"/>
      </w:rPr>
      <w:t xml:space="preserve">Beacom College of Computer and Cyber Sciences  |  Dakota State University  |  2026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pPr>
    <w:r>
      <w:rPr>
        <w:rFonts w:ascii="Times New Roman" w:cs="Times New Roman" w:eastAsia="Times New Roman" w:hAnsi="Times New Roman"/>
        <w:color w:val="555555"/>
        <w:sz w:val="18"/>
        <w:szCs w:val="18"/>
      </w:rPr>
      <w:t xml:space="preserve">Project Phantom  |  Deepfake Technology — Ethics, Security &amp;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8A" w:sz="4" w:space="4"/>
      </w:pBdr>
      <w:spacing w:after="120" w:before="320"/>
      <w:outlineLvl w:val="0"/>
    </w:pPr>
    <w:rPr>
      <w:rFonts w:ascii="Times New Roman" w:cs="Times New Roman" w:eastAsia="Times New Roman" w:hAnsi="Times New Roman"/>
      <w:b/>
      <w:bCs/>
      <w:color w:val="1A2E3F"/>
      <w:sz w:val="26"/>
      <w:szCs w:val="26"/>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C3E50"/>
      <w:sz w:val="23"/>
      <w:szCs w:val="23"/>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wkaks6dlhb94bpezcgfk" Type="http://schemas.openxmlformats.org/officeDocument/2006/relationships/hyperlink" Target="https://dakotastateuniversity-my.sharepoint.com/:f:/r/personal/walther_delorbe_trojans_dsu_edu/Documents/csc727/Project727/Phantom_final/Repository?csf=1&amp;web=1&amp;e=0Z7Zm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2026-04-21T15:25:27.875Z</dcterms:created>
  <dcterms:modified xsi:type="dcterms:W3CDTF">2026-04-21T15:25:27.875Z</dcterms:modified>
</cp:coreProperties>
</file>

<file path=docProps/custom.xml><?xml version="1.0" encoding="utf-8"?>
<Properties xmlns="http://schemas.openxmlformats.org/officeDocument/2006/custom-properties" xmlns:vt="http://schemas.openxmlformats.org/officeDocument/2006/docPropsVTypes"/>
</file>