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0" w:before="10" w:line="240" w:lineRule="auto"/>
        <w:rPr>
          <w:rFonts w:ascii="Times New Roman" w:cs="Times New Roman" w:eastAsia="Times New Roman" w:hAnsi="Times New Roman"/>
          <w:sz w:val="6"/>
          <w:szCs w:val="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Layout w:type="fixed"/>
        <w:tblLook w:val="0000"/>
      </w:tblPr>
      <w:tblGrid>
        <w:gridCol w:w="1828"/>
        <w:gridCol w:w="7560"/>
        <w:gridCol w:w="1502"/>
        <w:tblGridChange w:id="0">
          <w:tblGrid>
            <w:gridCol w:w="1828"/>
            <w:gridCol w:w="7560"/>
            <w:gridCol w:w="1502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</w:tcPr>
          <w:p w:rsidR="00000000" w:rsidDel="00000000" w:rsidP="00000000" w:rsidRDefault="00000000" w:rsidRPr="00000000" w14:paraId="00000002">
            <w:pPr>
              <w:widowControl w:val="0"/>
              <w:spacing w:after="0" w:before="115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University of Texas at San Antonio</w:t>
            </w:r>
          </w:p>
        </w:tc>
        <w:tc>
          <w:tcPr>
            <w:tcBorders>
              <w:top w:color="000000" w:space="0" w:sz="6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Feb 2024</w:t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5" w:val="single"/>
            </w:tcBorders>
            <w:shd w:fill="ffffff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before="9"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841956" cy="852106"/>
                  <wp:effectExtent b="0" l="0" r="0" t="0"/>
                  <wp:wrapSquare wrapText="bothSides" distB="0" distT="0" distL="0" distR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956" cy="8521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7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5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before="7" w:line="329" w:lineRule="auto"/>
              <w:ind w:right="1026" w:firstLine="108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Air Force ROTC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before="7" w:line="329" w:lineRule="auto"/>
              <w:ind w:right="1026" w:firstLine="108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Detachment 842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before="7" w:line="329" w:lineRule="auto"/>
              <w:ind w:right="1026" w:firstLine="108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Mandatory Practical Military Training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before="7" w:line="329" w:lineRule="auto"/>
              <w:ind w:right="1026" w:firstLine="108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LRCs (Leadership Reaction Course)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6" w:val="single"/>
              <w:right w:color="000000" w:space="0" w:sz="5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before="7" w:line="329" w:lineRule="auto"/>
              <w:ind w:right="1026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8785" cy="779463"/>
                  <wp:effectExtent b="0" l="0" r="0" t="0"/>
                  <wp:wrapSquare wrapText="bothSides" distB="0" distT="0" distL="0" distR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85" cy="779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118" w:line="240" w:lineRule="auto"/>
              <w:ind w:right="11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PMT Disclaimer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1" w:line="240" w:lineRule="auto"/>
              <w:ind w:left="102" w:right="387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All activities listed are considered mandatory PMT events.  IAW AFROTCI 36‐2011, para 10.3. PMT for AFROTC includes LLAB, PT, FT and Professional Development Training (PDT).  PMT is AFROTC-sponsored training that is uniquely military and meets the requirements in Title 10 U.S.C. 2109, Practical Military Training.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118" w:line="240" w:lineRule="auto"/>
              <w:ind w:right="11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Guidance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1" w:line="240" w:lineRule="auto"/>
              <w:ind w:left="102" w:right="387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All cadets have access to the following instructions via the Cadet Read-file located on the Cadet Wing Google Drive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before="1" w:line="240" w:lineRule="auto"/>
              <w:ind w:left="102" w:right="387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-  AFROTCI 36-2011,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Cadet Operations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                             -  Detachment 842 Handbook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before="1" w:line="240" w:lineRule="auto"/>
              <w:ind w:left="102" w:right="387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-  Volume One, Cadet’s Guide to LLAB Curriculum                             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before="1" w:line="240" w:lineRule="auto"/>
              <w:ind w:left="102" w:right="387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-  Det 842 Cadet Wing OPLAN, Spring 2024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spacing w:after="0" w:before="3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915"/>
        <w:gridCol w:w="1320"/>
        <w:gridCol w:w="255"/>
        <w:gridCol w:w="570"/>
        <w:gridCol w:w="105"/>
        <w:gridCol w:w="570"/>
        <w:gridCol w:w="105"/>
        <w:gridCol w:w="570"/>
        <w:gridCol w:w="240"/>
        <w:gridCol w:w="105"/>
        <w:gridCol w:w="165"/>
        <w:gridCol w:w="570"/>
        <w:gridCol w:w="405"/>
        <w:gridCol w:w="105"/>
        <w:gridCol w:w="570"/>
        <w:gridCol w:w="240"/>
        <w:gridCol w:w="240"/>
        <w:gridCol w:w="165"/>
        <w:gridCol w:w="480"/>
        <w:gridCol w:w="465"/>
        <w:gridCol w:w="135"/>
        <w:gridCol w:w="570"/>
        <w:gridCol w:w="165"/>
        <w:gridCol w:w="495"/>
        <w:tblGridChange w:id="0">
          <w:tblGrid>
            <w:gridCol w:w="1365"/>
            <w:gridCol w:w="915"/>
            <w:gridCol w:w="1320"/>
            <w:gridCol w:w="255"/>
            <w:gridCol w:w="570"/>
            <w:gridCol w:w="105"/>
            <w:gridCol w:w="570"/>
            <w:gridCol w:w="105"/>
            <w:gridCol w:w="570"/>
            <w:gridCol w:w="240"/>
            <w:gridCol w:w="105"/>
            <w:gridCol w:w="165"/>
            <w:gridCol w:w="570"/>
            <w:gridCol w:w="405"/>
            <w:gridCol w:w="105"/>
            <w:gridCol w:w="570"/>
            <w:gridCol w:w="240"/>
            <w:gridCol w:w="240"/>
            <w:gridCol w:w="165"/>
            <w:gridCol w:w="480"/>
            <w:gridCol w:w="465"/>
            <w:gridCol w:w="135"/>
            <w:gridCol w:w="570"/>
            <w:gridCol w:w="165"/>
            <w:gridCol w:w="495"/>
          </w:tblGrid>
        </w:tblGridChange>
      </w:tblGrid>
      <w:tr>
        <w:trPr>
          <w:cantSplit w:val="0"/>
          <w:tblHeader w:val="0"/>
        </w:trPr>
        <w:tc>
          <w:tcPr>
            <w:gridSpan w:val="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1. Leadership Laboratory (LLAB) - mFTP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0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A. Situation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LRCs (Leadership Reaction Course)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B. Date/Time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</w:tcPr>
          <w:p w:rsidR="00000000" w:rsidDel="00000000" w:rsidP="00000000" w:rsidRDefault="00000000" w:rsidRPr="00000000" w14:paraId="0000004B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Saturday (2 Mar) from 0700 to 1300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2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C. Form-Up  </w:t>
            </w:r>
          </w:p>
          <w:p w:rsidR="00000000" w:rsidDel="00000000" w:rsidP="00000000" w:rsidRDefault="00000000" w:rsidRPr="00000000" w14:paraId="00000063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Location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fffff" w:val="clear"/>
          </w:tcPr>
          <w:p w:rsidR="00000000" w:rsidDel="00000000" w:rsidP="00000000" w:rsidRDefault="00000000" w:rsidRPr="00000000" w14:paraId="0000006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Lackland-Chapman Annex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D. UOD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POC: OCPs</w:t>
            </w:r>
          </w:p>
          <w:p w:rsidR="00000000" w:rsidDel="00000000" w:rsidP="00000000" w:rsidRDefault="00000000" w:rsidRPr="00000000" w14:paraId="0000007F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GMC: Det Shirt, Jeans, Tennis Shoes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096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7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E. Execution</w:t>
            </w:r>
          </w:p>
          <w:p w:rsidR="00000000" w:rsidDel="00000000" w:rsidP="00000000" w:rsidRDefault="00000000" w:rsidRPr="00000000" w14:paraId="00000099">
            <w:pPr>
              <w:spacing w:before="3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B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Cadets</w:t>
            </w:r>
          </w:p>
        </w:tc>
        <w:tc>
          <w:tcPr>
            <w:gridSpan w:val="8"/>
            <w:shd w:fill="f2f2f2" w:val="clear"/>
          </w:tcPr>
          <w:p w:rsidR="00000000" w:rsidDel="00000000" w:rsidP="00000000" w:rsidRDefault="00000000" w:rsidRPr="00000000" w14:paraId="0000009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Location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8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A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Objectives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A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POC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Arrive to Brackenridge Parking Lot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D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Brackenridge Parking Lot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1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0700-0720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7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C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Depart from Brackenridge Parking Lot to Lackland-Chapman Annex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6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Brackenridge Parking Lot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0720-0750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7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Arrival at Lackland AFB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F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0F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0750-0800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01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In-Processing/ Safety Briefing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9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0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0800-0810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1B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Transition to Course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3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2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8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0810-0820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3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Rotations 1-3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D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3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2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0820-0920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6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8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4F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7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58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0920-0930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2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69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Rotation 4-6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1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72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6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0930-1030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83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B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8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1030-1040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6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9D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Rotations 7-9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A6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A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1040-1140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B7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Rotations End/Clean Up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F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C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1140-1200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8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rHeight w:val="520.9609375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D1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Depart to UTSA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9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Lackland-</w:t>
            </w:r>
          </w:p>
          <w:p w:rsidR="00000000" w:rsidDel="00000000" w:rsidP="00000000" w:rsidRDefault="00000000" w:rsidRPr="00000000" w14:paraId="000001DA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Chapman Annex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E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1200-1230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C/Fresquez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1E8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F. Inclement </w:t>
            </w:r>
          </w:p>
          <w:p w:rsidR="00000000" w:rsidDel="00000000" w:rsidP="00000000" w:rsidRDefault="00000000" w:rsidRPr="00000000" w14:paraId="000001E9">
            <w:pPr>
              <w:spacing w:before="3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Weather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A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1EB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Events will be conducted: </w:t>
            </w:r>
          </w:p>
        </w:tc>
        <w:tc>
          <w:tcPr>
            <w:gridSpan w:val="20"/>
          </w:tcPr>
          <w:p w:rsidR="00000000" w:rsidDel="00000000" w:rsidP="00000000" w:rsidRDefault="00000000" w:rsidRPr="00000000" w14:paraId="000001EE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Event will be conducted outdoors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3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04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Projected Weather Forecast: </w:t>
            </w:r>
          </w:p>
          <w:p w:rsidR="00000000" w:rsidDel="00000000" w:rsidP="00000000" w:rsidRDefault="00000000" w:rsidRPr="00000000" w14:paraId="00000205">
            <w:pPr>
              <w:spacing w:before="61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(Source: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12"/>
                  <w:szCs w:val="12"/>
                  <w:u w:val="single"/>
                  <w:rtl w:val="0"/>
                </w:rPr>
                <w:t xml:space="preserve">http://www.accuweather.com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8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Remaining very warm with variable cloudiness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B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High: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C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80°F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F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Low: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65° F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11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Precip: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3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7%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15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Winds / Gusts:</w:t>
            </w:r>
          </w:p>
          <w:p w:rsidR="00000000" w:rsidDel="00000000" w:rsidP="00000000" w:rsidRDefault="00000000" w:rsidRPr="00000000" w14:paraId="00000216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8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7/16 mph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A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Forecast  Date: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B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Mar 24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1E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21F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Impact Plan: </w:t>
            </w:r>
          </w:p>
        </w:tc>
        <w:tc>
          <w:tcPr>
            <w:gridSpan w:val="20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before="61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In case of weather-related impacts/cancellations, determined by Cadre or campus Admin, the Det 842 CW/CC will ensure all cadets are notified ASAP as to the mitigation plan/cancellation of PMT.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f2f2f2" w:val="clea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G. Risk </w:t>
            </w:r>
          </w:p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Management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3"/>
            <w:shd w:fill="f2f2f2" w:val="clea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IAW AFROTCI36-2011, para 1.13.7 Risk management has been incorporated into all facets of the detachment, to include the training program.  This 5-step Deliberate process is IAW AFI90-802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4"/>
                <w:szCs w:val="14"/>
                <w:rtl w:val="0"/>
              </w:rPr>
              <w:t xml:space="preserve">Risk Management.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Any activity determined to be of medium or high risk after control measures are implemented must receive Det Commander approval.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1: </w:t>
            </w:r>
          </w:p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ID Hazards</w:t>
            </w:r>
          </w:p>
        </w:tc>
        <w:tc>
          <w:tcPr>
            <w:gridSpan w:val="6"/>
            <w:shd w:fill="f2f2f2" w:val="clea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2: </w:t>
            </w:r>
          </w:p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Assess Risk</w:t>
            </w:r>
          </w:p>
          <w:p w:rsidR="00000000" w:rsidDel="00000000" w:rsidP="00000000" w:rsidRDefault="00000000" w:rsidRPr="00000000" w14:paraId="0000025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(see Risk Matrix)</w:t>
            </w:r>
          </w:p>
        </w:tc>
        <w:tc>
          <w:tcPr>
            <w:gridSpan w:val="7"/>
            <w:shd w:fill="f2f2f2" w:val="clea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3: Controls Measure</w:t>
            </w:r>
          </w:p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4: </w:t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Step 5: </w:t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Supervise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Hazard / Causes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Severe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Prob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Assessment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Mitigation Measure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New Assessment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Method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CW/CC Initials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OFC Initials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Inclement Weather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Medium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If mild, operation will continue and pause as necessary. If severe event will be canceled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Low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FTP Squadron Commander will check the weather before the start of FTP LLAB..  If rain hits, flight time under the Det Breezeway.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Dehydration/Heat Related Injuries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Medium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Cadets may hydrate at-will. All cadets must carry water with them at all times. Water Stations will be available.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Low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Stress the importance of hydration. In the event of an emergency, cadets may seek shelter and aid from the Cadre medic van.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Spread of COVID-19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Medium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Cadets are encouraged to wear a mask and use hand sanitizer throughout all of LRC.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Low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Hand sanitizer will be used frequently. Cadets will be reminded of the option to wear a mask.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Falls/sprains/muscle strains/bruising/splinters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Medium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Pre-brief cadets; demonstrate proper execution of each task. Inspect facilities prior to use, loosen fall pits, checkpadding for proper positioning.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Medium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Conduct a pre safety brief before cadets start the courses. And ensure safeties be attentive to cadets performing courses.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2f2f2" w:val="clea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Heart Attacks, Seizure, Stroke, and other serious concerns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IV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Medium</w:t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Proper health screening &amp; questionnaires.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Low</w:t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Cadets will not be allowed to participate unless sports physical/DODMerb</w:t>
            </w:r>
          </w:p>
          <w:p w:rsidR="00000000" w:rsidDel="00000000" w:rsidP="00000000" w:rsidRDefault="00000000" w:rsidRPr="00000000" w14:paraId="0000030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&amp; health questionnaires are current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Overall </w:t>
            </w:r>
          </w:p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Risk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Overall Risk after Controls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Low</w:t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Det/CC Approval if more than Medium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Det/CC Initials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22">
      <w:pPr>
        <w:pageBreakBefore w:val="0"/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widowControl w:val="0"/>
        <w:spacing w:after="0" w:before="3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.00000000000057" w:tblpY="17.64062499999909"/>
        <w:tblW w:w="10890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540"/>
        <w:gridCol w:w="1350"/>
        <w:gridCol w:w="450"/>
        <w:gridCol w:w="4230"/>
        <w:gridCol w:w="810"/>
        <w:gridCol w:w="1710"/>
        <w:tblGridChange w:id="0">
          <w:tblGrid>
            <w:gridCol w:w="1800"/>
            <w:gridCol w:w="540"/>
            <w:gridCol w:w="1350"/>
            <w:gridCol w:w="450"/>
            <w:gridCol w:w="4230"/>
            <w:gridCol w:w="810"/>
            <w:gridCol w:w="17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4. Approval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A. CW/CC    </w:t>
            </w:r>
          </w:p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Signature</w:t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SOPHIA IRIZARRY, C/Col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AFROTC Commander, 842d AFROTC Cadet Wing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B. OFC </w:t>
            </w:r>
          </w:p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Approval / </w:t>
            </w:r>
          </w:p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Signature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APPROVE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DISAPPROVE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LANDON PRENDERGAST, Capt, USAF</w:t>
            </w:r>
          </w:p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Operations Flight Commander, AFROTC Detachment 842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C. Det/CC</w:t>
            </w:r>
          </w:p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Approval / </w:t>
            </w:r>
          </w:p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Signature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APPROVE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DISAPPROVE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3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GREGORY CYRUS, Col, USAF</w:t>
            </w:r>
          </w:p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Commander, AFROTC Detachment 842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6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tabs>
          <w:tab w:val="left" w:leader="none" w:pos="5315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tabs>
          <w:tab w:val="left" w:leader="none" w:pos="531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Operation Risk Management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5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4"/>
        <w:gridCol w:w="4004"/>
        <w:gridCol w:w="1502"/>
        <w:gridCol w:w="1440"/>
        <w:gridCol w:w="1350"/>
        <w:gridCol w:w="1101"/>
        <w:gridCol w:w="1329"/>
        <w:tblGridChange w:id="0">
          <w:tblGrid>
            <w:gridCol w:w="794"/>
            <w:gridCol w:w="4004"/>
            <w:gridCol w:w="1502"/>
            <w:gridCol w:w="1440"/>
            <w:gridCol w:w="1350"/>
            <w:gridCol w:w="1101"/>
            <w:gridCol w:w="1329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377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Risk Assessment Matrix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284163</wp:posOffset>
                  </wp:positionV>
                  <wp:extent cx="821139" cy="830262"/>
                  <wp:effectExtent b="0" l="0" r="0" t="0"/>
                  <wp:wrapSquare wrapText="bothSides" distB="0" distT="0" distL="0" distR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139" cy="8302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79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Probability/Frequency of Occurrence Over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380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Frequent (F)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381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Likely  (L)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382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Occasional (O)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383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Seldom 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</w:tcPr>
          <w:p w:rsidR="00000000" w:rsidDel="00000000" w:rsidP="00000000" w:rsidRDefault="00000000" w:rsidRPr="00000000" w14:paraId="00000384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Unlikely (U)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387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Continuously experienced</w:t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388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Will occur frequently</w:t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389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Will occur several times</w:t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38A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Unlikely, can be expected to occur</w:t>
            </w:r>
          </w:p>
        </w:tc>
        <w:tc>
          <w:tcPr>
            <w:tcBorders>
              <w:top w:color="000000" w:space="0" w:sz="4" w:val="dashed"/>
            </w:tcBorders>
          </w:tcPr>
          <w:p w:rsidR="00000000" w:rsidDel="00000000" w:rsidP="00000000" w:rsidRDefault="00000000" w:rsidRPr="00000000" w14:paraId="0000038B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Improbably, but possible to occur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tabs>
                <w:tab w:val="left" w:leader="none" w:pos="6630"/>
              </w:tabs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-876299</wp:posOffset>
                      </wp:positionH>
                      <wp:positionV relativeFrom="paragraph">
                        <wp:posOffset>-1320799</wp:posOffset>
                      </wp:positionV>
                      <wp:extent cx="2343150" cy="615311"/>
                      <wp:effectExtent b="0" l="0" r="0" t="0"/>
                      <wp:wrapSquare wrapText="bothSides" distB="0" distT="0" distL="114300" distR="11430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5400000">
                                <a:off x="4260150" y="3558068"/>
                                <a:ext cx="2171700" cy="4438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Severity/Effect of Hazard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-876299</wp:posOffset>
                      </wp:positionH>
                      <wp:positionV relativeFrom="paragraph">
                        <wp:posOffset>-1320799</wp:posOffset>
                      </wp:positionV>
                      <wp:extent cx="2343150" cy="615311"/>
                      <wp:effectExtent b="0" l="0" r="0" t="0"/>
                      <wp:wrapSquare wrapText="bothSides" distB="0" distT="0" distL="114300" distR="114300"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61531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Catastrophic (IV)</w:t>
            </w:r>
          </w:p>
        </w:tc>
        <w:tc>
          <w:tcPr>
            <w:vMerge w:val="restart"/>
            <w:shd w:fill="c00000" w:val="clear"/>
            <w:vAlign w:val="center"/>
          </w:tcPr>
          <w:p w:rsidR="00000000" w:rsidDel="00000000" w:rsidP="00000000" w:rsidRDefault="00000000" w:rsidRPr="00000000" w14:paraId="0000038E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Extremely High</w:t>
            </w:r>
          </w:p>
        </w:tc>
        <w:tc>
          <w:tcPr>
            <w:vMerge w:val="restart"/>
            <w:shd w:fill="c00000" w:val="clear"/>
            <w:vAlign w:val="center"/>
          </w:tcPr>
          <w:p w:rsidR="00000000" w:rsidDel="00000000" w:rsidP="00000000" w:rsidRDefault="00000000" w:rsidRPr="00000000" w14:paraId="0000038F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Extremely High</w:t>
            </w:r>
          </w:p>
        </w:tc>
        <w:tc>
          <w:tcPr>
            <w:vMerge w:val="restart"/>
            <w:shd w:fill="ff0000" w:val="clear"/>
            <w:vAlign w:val="center"/>
          </w:tcPr>
          <w:p w:rsidR="00000000" w:rsidDel="00000000" w:rsidP="00000000" w:rsidRDefault="00000000" w:rsidRPr="00000000" w14:paraId="00000390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vMerge w:val="restart"/>
            <w:shd w:fill="ff0000" w:val="clear"/>
            <w:vAlign w:val="center"/>
          </w:tcPr>
          <w:p w:rsidR="00000000" w:rsidDel="00000000" w:rsidP="00000000" w:rsidRDefault="00000000" w:rsidRPr="00000000" w14:paraId="00000391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vMerge w:val="restart"/>
            <w:shd w:fill="538135" w:val="clear"/>
            <w:vAlign w:val="center"/>
          </w:tcPr>
          <w:p w:rsidR="00000000" w:rsidDel="00000000" w:rsidP="00000000" w:rsidRDefault="00000000" w:rsidRPr="00000000" w14:paraId="00000392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Death, loss of limb, loss of eyes</w:t>
            </w:r>
          </w:p>
        </w:tc>
        <w:tc>
          <w:tcPr>
            <w:vMerge w:val="continue"/>
            <w:shd w:fill="c00000" w:val="clear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00000" w:val="clear"/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38135" w:val="clear"/>
            <w:vAlign w:val="cente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9B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Critical (III)</w:t>
            </w:r>
          </w:p>
        </w:tc>
        <w:tc>
          <w:tcPr>
            <w:vMerge w:val="restart"/>
            <w:shd w:fill="c00000" w:val="clear"/>
            <w:vAlign w:val="center"/>
          </w:tcPr>
          <w:p w:rsidR="00000000" w:rsidDel="00000000" w:rsidP="00000000" w:rsidRDefault="00000000" w:rsidRPr="00000000" w14:paraId="0000039C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Extremely High</w:t>
            </w:r>
          </w:p>
        </w:tc>
        <w:tc>
          <w:tcPr>
            <w:vMerge w:val="restart"/>
            <w:shd w:fill="ff0000" w:val="clear"/>
            <w:vAlign w:val="center"/>
          </w:tcPr>
          <w:p w:rsidR="00000000" w:rsidDel="00000000" w:rsidP="00000000" w:rsidRDefault="00000000" w:rsidRPr="00000000" w14:paraId="0000039D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vMerge w:val="restart"/>
            <w:shd w:fill="ff0000" w:val="clear"/>
            <w:vAlign w:val="center"/>
          </w:tcPr>
          <w:p w:rsidR="00000000" w:rsidDel="00000000" w:rsidP="00000000" w:rsidRDefault="00000000" w:rsidRPr="00000000" w14:paraId="0000039E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vMerge w:val="restart"/>
            <w:shd w:fill="538135" w:val="clear"/>
            <w:vAlign w:val="center"/>
          </w:tcPr>
          <w:p w:rsidR="00000000" w:rsidDel="00000000" w:rsidP="00000000" w:rsidRDefault="00000000" w:rsidRPr="00000000" w14:paraId="0000039F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vMerge w:val="restart"/>
            <w:shd w:fill="00b050" w:val="clear"/>
            <w:vAlign w:val="center"/>
          </w:tcPr>
          <w:p w:rsidR="00000000" w:rsidDel="00000000" w:rsidP="00000000" w:rsidRDefault="00000000" w:rsidRPr="00000000" w14:paraId="000003A0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A2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Non-commissioning/unable to fly: loss of consciousness, significant ligament tears, significant joint damage</w:t>
            </w:r>
          </w:p>
        </w:tc>
        <w:tc>
          <w:tcPr>
            <w:vMerge w:val="continue"/>
            <w:shd w:fill="c00000" w:val="clear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0000" w:val="clear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38135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50" w:val="clear"/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A9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Moderate (II)</w:t>
            </w:r>
          </w:p>
        </w:tc>
        <w:tc>
          <w:tcPr>
            <w:vMerge w:val="restart"/>
            <w:shd w:fill="ff0000" w:val="clear"/>
            <w:vAlign w:val="center"/>
          </w:tcPr>
          <w:p w:rsidR="00000000" w:rsidDel="00000000" w:rsidP="00000000" w:rsidRDefault="00000000" w:rsidRPr="00000000" w14:paraId="000003AA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vMerge w:val="restart"/>
            <w:shd w:fill="538135" w:val="clear"/>
            <w:vAlign w:val="center"/>
          </w:tcPr>
          <w:p w:rsidR="00000000" w:rsidDel="00000000" w:rsidP="00000000" w:rsidRDefault="00000000" w:rsidRPr="00000000" w14:paraId="000003AB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vMerge w:val="restart"/>
            <w:shd w:fill="538135" w:val="clear"/>
            <w:vAlign w:val="center"/>
          </w:tcPr>
          <w:p w:rsidR="00000000" w:rsidDel="00000000" w:rsidP="00000000" w:rsidRDefault="00000000" w:rsidRPr="00000000" w14:paraId="000003AC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vMerge w:val="restart"/>
            <w:shd w:fill="00b050" w:val="clear"/>
            <w:vAlign w:val="center"/>
          </w:tcPr>
          <w:p w:rsidR="00000000" w:rsidDel="00000000" w:rsidP="00000000" w:rsidRDefault="00000000" w:rsidRPr="00000000" w14:paraId="000003AD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vMerge w:val="restart"/>
            <w:shd w:fill="00b050" w:val="clear"/>
            <w:vAlign w:val="center"/>
          </w:tcPr>
          <w:p w:rsidR="00000000" w:rsidDel="00000000" w:rsidP="00000000" w:rsidRDefault="00000000" w:rsidRPr="00000000" w14:paraId="000003AE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Injury/places cadet on MRS, bone breakage, serious sprains, stitches needed</w:t>
            </w:r>
          </w:p>
        </w:tc>
        <w:tc>
          <w:tcPr>
            <w:vMerge w:val="continue"/>
            <w:shd w:fill="ff0000" w:val="clear"/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38135" w:val="clear"/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38135" w:val="clear"/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50" w:val="clear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50" w:val="clear"/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Negligible (I)</w:t>
            </w:r>
          </w:p>
        </w:tc>
        <w:tc>
          <w:tcPr>
            <w:vMerge w:val="restart"/>
            <w:shd w:fill="538135" w:val="clear"/>
            <w:vAlign w:val="center"/>
          </w:tcPr>
          <w:p w:rsidR="00000000" w:rsidDel="00000000" w:rsidP="00000000" w:rsidRDefault="00000000" w:rsidRPr="00000000" w14:paraId="000003B8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vMerge w:val="restart"/>
            <w:shd w:fill="00b050" w:val="clear"/>
            <w:vAlign w:val="center"/>
          </w:tcPr>
          <w:p w:rsidR="00000000" w:rsidDel="00000000" w:rsidP="00000000" w:rsidRDefault="00000000" w:rsidRPr="00000000" w14:paraId="000003B9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vMerge w:val="restart"/>
            <w:shd w:fill="00b050" w:val="clear"/>
            <w:vAlign w:val="center"/>
          </w:tcPr>
          <w:p w:rsidR="00000000" w:rsidDel="00000000" w:rsidP="00000000" w:rsidRDefault="00000000" w:rsidRPr="00000000" w14:paraId="000003BA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vMerge w:val="restart"/>
            <w:shd w:fill="00b050" w:val="clear"/>
            <w:vAlign w:val="center"/>
          </w:tcPr>
          <w:p w:rsidR="00000000" w:rsidDel="00000000" w:rsidP="00000000" w:rsidRDefault="00000000" w:rsidRPr="00000000" w14:paraId="000003BB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vMerge w:val="restart"/>
            <w:shd w:fill="00b050" w:val="clear"/>
            <w:vAlign w:val="center"/>
          </w:tcPr>
          <w:p w:rsidR="00000000" w:rsidDel="00000000" w:rsidP="00000000" w:rsidRDefault="00000000" w:rsidRPr="00000000" w14:paraId="000003BC">
            <w:pPr>
              <w:tabs>
                <w:tab w:val="left" w:leader="none" w:pos="663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tabs>
                <w:tab w:val="left" w:leader="none" w:pos="663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impact to MRS, bumps/bruises, minor sprains</w:t>
            </w:r>
          </w:p>
        </w:tc>
        <w:tc>
          <w:tcPr>
            <w:vMerge w:val="continue"/>
            <w:shd w:fill="538135" w:val="clear"/>
            <w:vAlign w:val="cente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50" w:val="clear"/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50" w:val="clear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50" w:val="clear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b050" w:val="clear"/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4">
      <w:pPr>
        <w:pageBreakBefore w:val="0"/>
        <w:widowControl w:val="0"/>
        <w:tabs>
          <w:tab w:val="center" w:leader="none" w:pos="4680"/>
          <w:tab w:val="right" w:leader="none" w:pos="9360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800" w:top="760" w:left="700" w:right="640" w:header="0" w:footer="6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5">
    <w:pPr>
      <w:spacing w:line="240" w:lineRule="auto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3.png"/><Relationship Id="rId9" Type="http://schemas.openxmlformats.org/officeDocument/2006/relationships/hyperlink" Target="http://www.accuweather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GWEQzmv69U2IJEsuezTvGEMaw==">CgMxLjAyCGguZ2pkZ3hzOAByITF6aXJtWE45UV9EeDk0UWpSaERJdmZXZW9Ka1FiZmJXTg==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