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60"/>
        <w:jc w:val="center"/>
      </w:pPr>
      <w:r>
        <w:rPr>
          <w:rFonts w:ascii="Arial" w:cs="Arial" w:eastAsia="Arial" w:hAnsi="Arial"/>
          <w:b/>
          <w:bCs/>
          <w:color w:val="173F5F"/>
          <w:sz w:val="26"/>
          <w:szCs w:val="26"/>
        </w:rPr>
        <w:t xml:space="preserve">TERM 3 — WEEK 3 HOMEWORK ANSWER KEY</w:t>
      </w:r>
    </w:p>
    <w:p>
      <w:pPr>
        <w:spacing w:after="120" w:before="0" w:line="220"/>
        <w:jc w:val="center"/>
      </w:pPr>
      <w:r>
        <w:rPr>
          <w:rFonts w:ascii="Arial" w:cs="Arial" w:eastAsia="Arial" w:hAnsi="Arial"/>
          <w:b w:val="false"/>
          <w:bCs w:val="false"/>
          <w:color w:val="4B5563"/>
          <w:sz w:val="18"/>
          <w:szCs w:val="18"/>
        </w:rPr>
        <w:t xml:space="preserve">Teacher Quick Reference Guide • Green, Blue &amp; Red Levels</w:t>
      </w:r>
    </w:p>
    <w:tbl>
      <w:tblPr>
        <w:tblW w:type="dxa" w:w="108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3630"/>
        <w:gridCol w:w="3628"/>
      </w:tblGrid>
      <w:tr>
        <w:trPr>
          <w:cantSplit/>
        </w:trPr>
        <w:tc>
          <w:tcPr>
            <w:tcW w:type="dxa" w:w="3628"/>
            <w:tcBorders>
              <w:top w:val="single" w:color="A3CFBB" w:sz="12"/>
              <w:left w:val="single" w:color="A3CFBB" w:sz="12"/>
              <w:bottom w:val="single" w:color="A3CFBB" w:sz="12"/>
              <w:right w:val="single" w:color="A3CFBB" w:sz="12"/>
            </w:tcBorders>
            <w:shd w:fill="D1E7D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F5132"/>
                <w:sz w:val="22"/>
                <w:szCs w:val="22"/>
              </w:rPr>
              <w:t xml:space="preserve">GREEN LEVEL</w:t>
            </w:r>
          </w:p>
          <w:p>
            <w:pPr>
              <w:spacing w:after="0" w:before="0" w:line="1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5132"/>
                <w:sz w:val="16"/>
                <w:szCs w:val="16"/>
              </w:rPr>
              <w:t xml:space="preserve">Year 3/4 Standard</w:t>
            </w:r>
          </w:p>
        </w:tc>
        <w:tc>
          <w:tcPr>
            <w:tcW w:type="dxa" w:w="3630"/>
            <w:tcBorders>
              <w:top w:val="single" w:color="9EC5FE" w:sz="12"/>
              <w:left w:val="single" w:color="9EC5FE" w:sz="12"/>
              <w:bottom w:val="single" w:color="9EC5FE" w:sz="12"/>
              <w:right w:val="single" w:color="9EC5FE" w:sz="12"/>
            </w:tcBorders>
            <w:shd w:fill="CFE2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84298"/>
                <w:sz w:val="22"/>
                <w:szCs w:val="22"/>
              </w:rPr>
              <w:t xml:space="preserve">BLUE LEVEL</w:t>
            </w:r>
          </w:p>
          <w:p>
            <w:pPr>
              <w:spacing w:after="0" w:before="0" w:line="1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84298"/>
                <w:sz w:val="16"/>
                <w:szCs w:val="16"/>
              </w:rPr>
              <w:t xml:space="preserve">Year 5 Standard</w:t>
            </w:r>
          </w:p>
        </w:tc>
        <w:tc>
          <w:tcPr>
            <w:tcW w:type="dxa" w:w="3628"/>
            <w:tcBorders>
              <w:top w:val="single" w:color="F5C2C7" w:sz="12"/>
              <w:left w:val="single" w:color="F5C2C7" w:sz="12"/>
              <w:bottom w:val="single" w:color="F5C2C7" w:sz="12"/>
              <w:right w:val="single" w:color="F5C2C7" w:sz="12"/>
            </w:tcBorders>
            <w:shd w:fill="F8D7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42029"/>
                <w:sz w:val="22"/>
                <w:szCs w:val="22"/>
              </w:rPr>
              <w:t xml:space="preserve">RED LEVEL</w:t>
            </w:r>
          </w:p>
          <w:p>
            <w:pPr>
              <w:spacing w:after="0" w:before="0" w:line="1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42029"/>
                <w:sz w:val="16"/>
                <w:szCs w:val="16"/>
              </w:rPr>
              <w:t xml:space="preserve">Year 5 Extension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9CA3AF" w:sz="8"/>
              <w:left w:val="single" w:color="D1D5DB" w:sz="4"/>
              <w:bottom w:val="single" w:color="9CA3AF" w:sz="8"/>
              <w:right w:val="single" w:color="D1D5DB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READING COMPREHENSION (Q1–15)</w:t>
            </w:r>
          </w:p>
        </w:tc>
        <w:tc>
          <w:tcPr>
            <w:tcW w:type="dxa" w:w="3630"/>
            <w:tcBorders>
              <w:top w:val="single" w:color="9CA3AF" w:sz="8"/>
              <w:left w:val="single" w:color="D1D5DB" w:sz="4"/>
              <w:bottom w:val="single" w:color="9CA3AF" w:sz="8"/>
              <w:right w:val="single" w:color="D1D5DB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READING COMPREHENSION (Q1–15)</w:t>
            </w:r>
          </w:p>
        </w:tc>
        <w:tc>
          <w:tcPr>
            <w:tcW w:type="dxa" w:w="3628"/>
            <w:tcBorders>
              <w:top w:val="single" w:color="9CA3AF" w:sz="8"/>
              <w:left w:val="single" w:color="D1D5DB" w:sz="4"/>
              <w:bottom w:val="single" w:color="9CA3AF" w:sz="8"/>
              <w:right w:val="single" w:color="D1D5DB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READING COMPREHENSION (Q1–15)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Q01: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A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Q01: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A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Q01: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Q02: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Q02: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B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Q02: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Q03: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Q03: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A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Q03: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Q04: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A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Q04: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C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Q04: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Q05: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Q05: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A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Q05: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Q06: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Q06: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B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Q06: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Q07: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A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Q07: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A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Q07: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Q08: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A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Q08: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C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Q08: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Q09: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Q09: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B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Q09: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Q10: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A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Q10: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A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Q10: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Q11: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A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Q11: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B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Q11: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Q12: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Q12: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A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Q12: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Q13: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A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Q13: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B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Q13: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Q14: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A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Q14: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A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Q14: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Q15: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Q15: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A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Q15: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9CA3AF" w:sz="8"/>
              <w:left w:val="single" w:color="D1D5DB" w:sz="4"/>
              <w:bottom w:val="single" w:color="9CA3AF" w:sz="8"/>
              <w:right w:val="single" w:color="D1D5DB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MATHEMATICS (Q16–30)</w:t>
            </w:r>
          </w:p>
        </w:tc>
        <w:tc>
          <w:tcPr>
            <w:tcW w:type="dxa" w:w="3630"/>
            <w:tcBorders>
              <w:top w:val="single" w:color="9CA3AF" w:sz="8"/>
              <w:left w:val="single" w:color="D1D5DB" w:sz="4"/>
              <w:bottom w:val="single" w:color="9CA3AF" w:sz="8"/>
              <w:right w:val="single" w:color="D1D5DB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MATHEMATICS (Q16–30)</w:t>
            </w:r>
          </w:p>
        </w:tc>
        <w:tc>
          <w:tcPr>
            <w:tcW w:type="dxa" w:w="3628"/>
            <w:tcBorders>
              <w:top w:val="single" w:color="9CA3AF" w:sz="8"/>
              <w:left w:val="single" w:color="D1D5DB" w:sz="4"/>
              <w:bottom w:val="single" w:color="9CA3AF" w:sz="8"/>
              <w:right w:val="single" w:color="D1D5DB" w:sz="4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MATHEMATICS (Q16–30)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Q16: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Q16: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B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Q16: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Q17: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Q17: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A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Q17: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Q18: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Q18: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C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Q18: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Q19: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Q19: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C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Q19: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Q20: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Q20: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A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Q20: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Q21: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Q21: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C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Q21: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Q22: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Q22: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B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Q22: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Q23: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Q23: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C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Q23: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Q24: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Q24: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B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Q24: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Q25: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Q25: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C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Q25: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Q26: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C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Q26: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C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Q26: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Q27: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Q27: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A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Q27: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Q28: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Q28: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C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Q28: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Q29: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A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Q29: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B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Q29: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Q30: </w:t>
            </w:r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B</w:t>
            </w:r>
          </w:p>
        </w:tc>
        <w:tc>
          <w:tcPr>
            <w:tcW w:type="dxa" w:w="36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Q30: </w:t>
            </w:r>
            <w:r>
              <w:rPr>
                <w:rFonts w:ascii="Arial" w:cs="Arial" w:eastAsia="Arial" w:hAnsi="Arial"/>
                <w:b/>
                <w:bCs/>
                <w:color w:val="084298"/>
                <w:sz w:val="20"/>
                <w:szCs w:val="20"/>
              </w:rPr>
              <w:t xml:space="preserve">C</w:t>
            </w:r>
          </w:p>
        </w:tc>
        <w:tc>
          <w:tcPr>
            <w:tcW w:type="dxa" w:w="36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0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Q30: </w:t>
            </w:r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510" w:right="510" w:bottom="510" w:left="5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5"/>
        <w:szCs w:val="15"/>
      </w:rPr>
      <w:t xml:space="preserve">Week 3 Homework Master Answer Sheet  |  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0"/>
      <w:jc w:val="right"/>
    </w:pPr>
    <w:r>
      <w:rPr>
        <w:rFonts w:ascii="Arial" w:cs="Arial" w:eastAsia="Arial" w:hAnsi="Arial"/>
        <w:b w:val="false"/>
        <w:bCs w:val="false"/>
        <w:color w:val="6B7280"/>
        <w:sz w:val="15"/>
        <w:szCs w:val="15"/>
      </w:rPr>
      <w:t xml:space="preserve">Term 3 | Week 3 | Master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2026-08-04T23:54:02.760Z</dcterms:created>
  <dcterms:modified xsi:type="dcterms:W3CDTF">2026-08-04T23:54:02.761Z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