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7B2F" w14:textId="77777777" w:rsidR="00BD7D38" w:rsidRPr="00BD7D38" w:rsidRDefault="00BD7D38" w:rsidP="00BD7D38">
      <w:pPr>
        <w:spacing w:before="240" w:after="120" w:line="240" w:lineRule="atLeast"/>
        <w:rPr>
          <w:rFonts w:ascii="Arial" w:eastAsia="SimSun" w:hAnsi="Arial" w:cs="Times New Roman"/>
          <w:b/>
          <w:i/>
          <w:kern w:val="0"/>
          <w:sz w:val="18"/>
          <w14:ligatures w14:val="none"/>
        </w:rPr>
      </w:pPr>
      <w:proofErr w:type="spellStart"/>
      <w:r w:rsidRPr="00BD7D38">
        <w:rPr>
          <w:rFonts w:ascii="Arial" w:eastAsia="SimSun" w:hAnsi="Arial" w:cs="Times New Roman"/>
          <w:b/>
          <w:i/>
          <w:kern w:val="0"/>
          <w:sz w:val="18"/>
          <w14:ligatures w14:val="none"/>
        </w:rPr>
        <w:t>Berani</w:t>
      </w:r>
      <w:proofErr w:type="spellEnd"/>
    </w:p>
    <w:p w14:paraId="1456BA48" w14:textId="77777777" w:rsidR="00BD7D38" w:rsidRPr="00BD7D38" w:rsidRDefault="00BD7D38" w:rsidP="00BD7D38">
      <w:pPr>
        <w:spacing w:after="120" w:line="240" w:lineRule="atLeast"/>
        <w:rPr>
          <w:rFonts w:ascii="Arial" w:eastAsia="SimSun" w:hAnsi="Arial" w:cs="Times New Roman"/>
          <w:kern w:val="0"/>
          <w:sz w:val="18"/>
          <w14:ligatures w14:val="none"/>
        </w:rPr>
      </w:pPr>
      <w:proofErr w:type="spellStart"/>
      <w:r w:rsidRPr="00BD7D38">
        <w:rPr>
          <w:rFonts w:ascii="Arial" w:eastAsia="SimSun" w:hAnsi="Arial" w:cs="Times New Roman"/>
          <w:i/>
          <w:kern w:val="0"/>
          <w:sz w:val="18"/>
          <w14:ligatures w14:val="none"/>
        </w:rPr>
        <w:t>Berani</w:t>
      </w:r>
      <w:proofErr w:type="spellEnd"/>
      <w:r w:rsidRPr="00BD7D38">
        <w:rPr>
          <w:rFonts w:ascii="Arial" w:eastAsia="SimSun" w:hAnsi="Arial" w:cs="Times New Roman"/>
          <w:i/>
          <w:kern w:val="0"/>
          <w:sz w:val="18"/>
          <w14:ligatures w14:val="none"/>
        </w:rPr>
        <w:t xml:space="preserve"> </w:t>
      </w:r>
      <w:r w:rsidRPr="00BD7D38">
        <w:rPr>
          <w:rFonts w:ascii="Arial" w:eastAsia="SimSun" w:hAnsi="Arial" w:cs="Times New Roman"/>
          <w:kern w:val="0"/>
          <w:sz w:val="18"/>
          <w14:ligatures w14:val="none"/>
        </w:rPr>
        <w:t>effectively integrates a range of persuasive and literary features, with themes about environmental activism, ethical decision making and cultural awareness. Its rich narrative and multifaceted characters provide ample opportunities for discussion, analysis and critical thinking in the classroom.</w:t>
      </w:r>
    </w:p>
    <w:tbl>
      <w:tblPr>
        <w:tblW w:w="20984"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CellMar>
          <w:top w:w="108" w:type="dxa"/>
          <w:bottom w:w="108" w:type="dxa"/>
        </w:tblCellMar>
        <w:tblLook w:val="04A0" w:firstRow="1" w:lastRow="0" w:firstColumn="1" w:lastColumn="0" w:noHBand="0" w:noVBand="1"/>
      </w:tblPr>
      <w:tblGrid>
        <w:gridCol w:w="1761"/>
        <w:gridCol w:w="19223"/>
      </w:tblGrid>
      <w:tr w:rsidR="00BD7D38" w:rsidRPr="00BD7D38" w14:paraId="4831C0E1" w14:textId="77777777" w:rsidTr="00BE27D6">
        <w:trPr>
          <w:tblHeader/>
        </w:trPr>
        <w:tc>
          <w:tcPr>
            <w:tcW w:w="841" w:type="dxa"/>
            <w:shd w:val="clear" w:color="auto" w:fill="EAF5FF"/>
            <w:tcMar>
              <w:top w:w="85" w:type="dxa"/>
              <w:left w:w="85" w:type="dxa"/>
              <w:bottom w:w="85" w:type="dxa"/>
              <w:right w:w="85" w:type="dxa"/>
            </w:tcMar>
          </w:tcPr>
          <w:p w14:paraId="5E35078A" w14:textId="77777777" w:rsidR="00BD7D38" w:rsidRPr="00BD7D38" w:rsidRDefault="00BD7D38" w:rsidP="00BD7D38">
            <w:pPr>
              <w:spacing w:after="0" w:line="240" w:lineRule="auto"/>
              <w:rPr>
                <w:rFonts w:ascii="Arial" w:eastAsia="SimSun" w:hAnsi="Arial" w:cs="Times New Roman"/>
                <w:b/>
                <w:kern w:val="0"/>
                <w:sz w:val="18"/>
                <w:szCs w:val="22"/>
                <w14:ligatures w14:val="none"/>
              </w:rPr>
            </w:pPr>
            <w:r w:rsidRPr="00BD7D38">
              <w:rPr>
                <w:rFonts w:ascii="Arial" w:eastAsia="SimSun" w:hAnsi="Arial" w:cs="Times New Roman"/>
                <w:b/>
                <w:kern w:val="0"/>
                <w:sz w:val="18"/>
                <w:szCs w:val="22"/>
                <w14:ligatures w14:val="none"/>
              </w:rPr>
              <w:t>Features</w:t>
            </w:r>
          </w:p>
        </w:tc>
        <w:tc>
          <w:tcPr>
            <w:tcW w:w="20143" w:type="dxa"/>
            <w:shd w:val="clear" w:color="auto" w:fill="EAF5FF"/>
          </w:tcPr>
          <w:p w14:paraId="336F197E" w14:textId="77777777" w:rsidR="00BD7D38" w:rsidRPr="00BD7D38" w:rsidRDefault="00BD7D38" w:rsidP="00BD7D38">
            <w:pPr>
              <w:spacing w:after="0" w:line="240" w:lineRule="auto"/>
              <w:rPr>
                <w:rFonts w:ascii="Arial" w:eastAsia="SimSun" w:hAnsi="Arial" w:cs="Times New Roman"/>
                <w:b/>
                <w:kern w:val="0"/>
                <w:sz w:val="18"/>
                <w:szCs w:val="22"/>
                <w14:ligatures w14:val="none"/>
              </w:rPr>
            </w:pPr>
            <w:r w:rsidRPr="00BD7D38">
              <w:rPr>
                <w:rFonts w:ascii="Arial" w:eastAsia="SimSun" w:hAnsi="Arial" w:cs="Times New Roman"/>
                <w:b/>
                <w:kern w:val="0"/>
                <w:sz w:val="18"/>
                <w:szCs w:val="22"/>
                <w14:ligatures w14:val="none"/>
              </w:rPr>
              <w:t>Text examples</w:t>
            </w:r>
          </w:p>
        </w:tc>
      </w:tr>
      <w:tr w:rsidR="00BD7D38" w:rsidRPr="00BD7D38" w14:paraId="461E1E62" w14:textId="77777777" w:rsidTr="00BE27D6">
        <w:tc>
          <w:tcPr>
            <w:tcW w:w="841" w:type="dxa"/>
            <w:tcMar>
              <w:top w:w="85" w:type="dxa"/>
              <w:left w:w="85" w:type="dxa"/>
              <w:bottom w:w="85" w:type="dxa"/>
              <w:right w:w="85" w:type="dxa"/>
            </w:tcMar>
          </w:tcPr>
          <w:p w14:paraId="37C143DE"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Clear text structure</w:t>
            </w:r>
          </w:p>
        </w:tc>
        <w:tc>
          <w:tcPr>
            <w:tcW w:w="20143" w:type="dxa"/>
            <w:tcMar>
              <w:top w:w="85" w:type="dxa"/>
              <w:left w:w="85" w:type="dxa"/>
              <w:bottom w:w="85" w:type="dxa"/>
              <w:right w:w="85" w:type="dxa"/>
            </w:tcMar>
          </w:tcPr>
          <w:p w14:paraId="0C55641C"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The novel opens by introducing the three main characters, setting the stage for the central conflict, and develops through alternating perspectives.</w:t>
            </w:r>
          </w:p>
          <w:p w14:paraId="42EE2C16"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The story culminates in the characters taking decisive actions that reflect their development and the themes of bravery and advocacy.</w:t>
            </w:r>
          </w:p>
        </w:tc>
      </w:tr>
      <w:tr w:rsidR="00BD7D38" w:rsidRPr="00BD7D38" w14:paraId="060AE370" w14:textId="77777777" w:rsidTr="00BE27D6">
        <w:tc>
          <w:tcPr>
            <w:tcW w:w="841" w:type="dxa"/>
            <w:tcMar>
              <w:top w:w="85" w:type="dxa"/>
              <w:left w:w="85" w:type="dxa"/>
              <w:bottom w:w="85" w:type="dxa"/>
              <w:right w:w="85" w:type="dxa"/>
            </w:tcMar>
          </w:tcPr>
          <w:p w14:paraId="0C808001"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Paragraphs with topic sentences</w:t>
            </w:r>
          </w:p>
        </w:tc>
        <w:tc>
          <w:tcPr>
            <w:tcW w:w="20143" w:type="dxa"/>
            <w:tcMar>
              <w:top w:w="85" w:type="dxa"/>
              <w:left w:w="85" w:type="dxa"/>
              <w:bottom w:w="85" w:type="dxa"/>
              <w:right w:w="85" w:type="dxa"/>
            </w:tcMar>
          </w:tcPr>
          <w:p w14:paraId="38BB5724"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Each chapter focuses on a specific character's point of view, beginning with clear topic sentences that establish the focus of the section. This structure aids in guiding readers through the narrative and understanding each character's perspective.</w:t>
            </w:r>
          </w:p>
        </w:tc>
      </w:tr>
      <w:tr w:rsidR="00BD7D38" w:rsidRPr="00BD7D38" w14:paraId="322FDEF1" w14:textId="77777777" w:rsidTr="00BE27D6">
        <w:tc>
          <w:tcPr>
            <w:tcW w:w="841" w:type="dxa"/>
            <w:tcMar>
              <w:top w:w="85" w:type="dxa"/>
              <w:left w:w="85" w:type="dxa"/>
              <w:bottom w:w="85" w:type="dxa"/>
              <w:right w:w="85" w:type="dxa"/>
            </w:tcMar>
          </w:tcPr>
          <w:p w14:paraId="6AC3ED9E"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Simple, compound and complex sentences</w:t>
            </w:r>
          </w:p>
        </w:tc>
        <w:tc>
          <w:tcPr>
            <w:tcW w:w="20143" w:type="dxa"/>
            <w:tcMar>
              <w:top w:w="85" w:type="dxa"/>
              <w:left w:w="85" w:type="dxa"/>
              <w:bottom w:w="85" w:type="dxa"/>
              <w:right w:w="85" w:type="dxa"/>
            </w:tcMar>
          </w:tcPr>
          <w:p w14:paraId="797FAD7F"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The text employs a variety of sentence structures to convey information and emotions effectively. Simple sentences are used for clarity, compound sentences connect related ideas, and complex sentences delve into characters' thoughts and motivations.</w:t>
            </w:r>
          </w:p>
        </w:tc>
      </w:tr>
      <w:tr w:rsidR="00BD7D38" w:rsidRPr="00BD7D38" w14:paraId="0C99FDDB" w14:textId="77777777" w:rsidTr="00BE27D6">
        <w:tc>
          <w:tcPr>
            <w:tcW w:w="841" w:type="dxa"/>
            <w:tcMar>
              <w:top w:w="85" w:type="dxa"/>
              <w:left w:w="85" w:type="dxa"/>
              <w:bottom w:w="85" w:type="dxa"/>
              <w:right w:w="85" w:type="dxa"/>
            </w:tcMar>
          </w:tcPr>
          <w:p w14:paraId="71889C7D"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Content</w:t>
            </w:r>
          </w:p>
        </w:tc>
        <w:tc>
          <w:tcPr>
            <w:tcW w:w="20143" w:type="dxa"/>
            <w:tcMar>
              <w:top w:w="85" w:type="dxa"/>
              <w:left w:w="85" w:type="dxa"/>
              <w:bottom w:w="85" w:type="dxa"/>
              <w:right w:w="85" w:type="dxa"/>
            </w:tcMar>
          </w:tcPr>
          <w:p w14:paraId="20E8588E"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proofErr w:type="spellStart"/>
            <w:r w:rsidRPr="00BD7D38">
              <w:rPr>
                <w:rFonts w:ascii="Arial" w:eastAsia="SimSun" w:hAnsi="Arial" w:cs="Times New Roman"/>
                <w:i/>
                <w:iCs/>
                <w:kern w:val="0"/>
                <w:sz w:val="18"/>
                <w14:ligatures w14:val="none"/>
              </w:rPr>
              <w:t>Berani</w:t>
            </w:r>
            <w:proofErr w:type="spellEnd"/>
            <w:r w:rsidRPr="00BD7D38">
              <w:rPr>
                <w:rFonts w:ascii="Arial" w:eastAsia="SimSun" w:hAnsi="Arial" w:cs="Times New Roman"/>
                <w:kern w:val="0"/>
                <w:sz w:val="18"/>
                <w14:ligatures w14:val="none"/>
              </w:rPr>
              <w:t xml:space="preserve"> addresses multiple themes, including environmental conservation, animal rights, socio-economic disparities, cultural identity and the complexities of activism. This breadth provides readers with a comprehensive understanding of the issues at hand.</w:t>
            </w:r>
          </w:p>
        </w:tc>
      </w:tr>
      <w:tr w:rsidR="00BD7D38" w:rsidRPr="00BD7D38" w14:paraId="4C30981C" w14:textId="77777777" w:rsidTr="00BE27D6">
        <w:tc>
          <w:tcPr>
            <w:tcW w:w="841" w:type="dxa"/>
            <w:tcMar>
              <w:top w:w="85" w:type="dxa"/>
              <w:left w:w="85" w:type="dxa"/>
              <w:bottom w:w="85" w:type="dxa"/>
              <w:right w:w="85" w:type="dxa"/>
            </w:tcMar>
          </w:tcPr>
          <w:p w14:paraId="0AAC6BDD"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Topic-specific vocabulary</w:t>
            </w:r>
          </w:p>
        </w:tc>
        <w:tc>
          <w:tcPr>
            <w:tcW w:w="20143" w:type="dxa"/>
            <w:tcMar>
              <w:top w:w="85" w:type="dxa"/>
              <w:left w:w="85" w:type="dxa"/>
              <w:bottom w:w="85" w:type="dxa"/>
              <w:right w:w="85" w:type="dxa"/>
            </w:tcMar>
          </w:tcPr>
          <w:p w14:paraId="13B2C4B2"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The novel introduces and contextualises terms related to environmental issues.</w:t>
            </w:r>
          </w:p>
        </w:tc>
      </w:tr>
      <w:tr w:rsidR="00BD7D38" w:rsidRPr="00BD7D38" w14:paraId="3F54DB33" w14:textId="77777777" w:rsidTr="00BE27D6">
        <w:tc>
          <w:tcPr>
            <w:tcW w:w="841" w:type="dxa"/>
            <w:tcMar>
              <w:top w:w="85" w:type="dxa"/>
              <w:left w:w="85" w:type="dxa"/>
              <w:bottom w:w="85" w:type="dxa"/>
              <w:right w:w="85" w:type="dxa"/>
            </w:tcMar>
          </w:tcPr>
          <w:p w14:paraId="7F4853E4"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Comparative and persuasive words</w:t>
            </w:r>
          </w:p>
        </w:tc>
        <w:tc>
          <w:tcPr>
            <w:tcW w:w="20143" w:type="dxa"/>
            <w:tcMar>
              <w:top w:w="85" w:type="dxa"/>
              <w:left w:w="85" w:type="dxa"/>
              <w:bottom w:w="85" w:type="dxa"/>
              <w:right w:w="85" w:type="dxa"/>
            </w:tcMar>
          </w:tcPr>
          <w:p w14:paraId="14C75D59"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Characters weigh options and make moral judgments. </w:t>
            </w:r>
          </w:p>
        </w:tc>
      </w:tr>
      <w:tr w:rsidR="00BD7D38" w:rsidRPr="00BD7D38" w14:paraId="3D87285A" w14:textId="77777777" w:rsidTr="00BE27D6">
        <w:tc>
          <w:tcPr>
            <w:tcW w:w="841" w:type="dxa"/>
            <w:tcMar>
              <w:top w:w="85" w:type="dxa"/>
              <w:left w:w="85" w:type="dxa"/>
              <w:bottom w:w="85" w:type="dxa"/>
              <w:right w:w="85" w:type="dxa"/>
            </w:tcMar>
          </w:tcPr>
          <w:p w14:paraId="356A1263"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Modal verbs</w:t>
            </w:r>
          </w:p>
        </w:tc>
        <w:tc>
          <w:tcPr>
            <w:tcW w:w="20143" w:type="dxa"/>
            <w:tcMar>
              <w:top w:w="85" w:type="dxa"/>
              <w:left w:w="85" w:type="dxa"/>
              <w:bottom w:w="85" w:type="dxa"/>
              <w:right w:w="85" w:type="dxa"/>
            </w:tcMar>
          </w:tcPr>
          <w:p w14:paraId="41503828"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Characters use modal verbs to express obligations, possibilities and necessities, particularly in discussions about activism and ethical choices.</w:t>
            </w:r>
          </w:p>
        </w:tc>
      </w:tr>
      <w:tr w:rsidR="00BD7D38" w:rsidRPr="00BD7D38" w14:paraId="1902DFC3" w14:textId="77777777" w:rsidTr="00BE27D6">
        <w:tc>
          <w:tcPr>
            <w:tcW w:w="841" w:type="dxa"/>
            <w:tcMar>
              <w:top w:w="85" w:type="dxa"/>
              <w:left w:w="85" w:type="dxa"/>
              <w:bottom w:w="85" w:type="dxa"/>
              <w:right w:w="85" w:type="dxa"/>
            </w:tcMar>
          </w:tcPr>
          <w:p w14:paraId="0523EC06"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Comparative language</w:t>
            </w:r>
          </w:p>
        </w:tc>
        <w:tc>
          <w:tcPr>
            <w:tcW w:w="20143" w:type="dxa"/>
            <w:tcMar>
              <w:top w:w="85" w:type="dxa"/>
              <w:left w:w="85" w:type="dxa"/>
              <w:bottom w:w="85" w:type="dxa"/>
              <w:right w:w="85" w:type="dxa"/>
            </w:tcMar>
          </w:tcPr>
          <w:p w14:paraId="4E22682A"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Comparisons are drawn between different lifestyles, cultural backgrounds and moral choices, highlighting contrasts and prompting readers to consider various perspectives.</w:t>
            </w:r>
          </w:p>
        </w:tc>
      </w:tr>
      <w:tr w:rsidR="00BD7D38" w:rsidRPr="00BD7D38" w14:paraId="6902A0FE" w14:textId="77777777" w:rsidTr="00BE27D6">
        <w:tc>
          <w:tcPr>
            <w:tcW w:w="841" w:type="dxa"/>
            <w:tcMar>
              <w:top w:w="85" w:type="dxa"/>
              <w:left w:w="85" w:type="dxa"/>
              <w:bottom w:w="85" w:type="dxa"/>
              <w:right w:w="85" w:type="dxa"/>
            </w:tcMar>
          </w:tcPr>
          <w:p w14:paraId="1E4F00C7"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Expanded noun groups </w:t>
            </w:r>
          </w:p>
        </w:tc>
        <w:tc>
          <w:tcPr>
            <w:tcW w:w="20143" w:type="dxa"/>
            <w:tcMar>
              <w:top w:w="85" w:type="dxa"/>
              <w:left w:w="85" w:type="dxa"/>
              <w:bottom w:w="85" w:type="dxa"/>
              <w:right w:w="85" w:type="dxa"/>
            </w:tcMar>
          </w:tcPr>
          <w:p w14:paraId="57DD89F7"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Descriptive phrases, such as ‘the too-small cage where she lives’, provide vivid imagery and detail, enriching the narrative and emphasising key themes.</w:t>
            </w:r>
          </w:p>
        </w:tc>
      </w:tr>
      <w:tr w:rsidR="00BD7D38" w:rsidRPr="00BD7D38" w14:paraId="034FE433" w14:textId="77777777" w:rsidTr="00BE27D6">
        <w:tc>
          <w:tcPr>
            <w:tcW w:w="841" w:type="dxa"/>
            <w:tcMar>
              <w:top w:w="85" w:type="dxa"/>
              <w:left w:w="85" w:type="dxa"/>
              <w:bottom w:w="85" w:type="dxa"/>
              <w:right w:w="85" w:type="dxa"/>
            </w:tcMar>
          </w:tcPr>
          <w:p w14:paraId="24E72F6E"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Personal and possessive pronouns</w:t>
            </w:r>
          </w:p>
        </w:tc>
        <w:tc>
          <w:tcPr>
            <w:tcW w:w="20143" w:type="dxa"/>
            <w:tcMar>
              <w:top w:w="85" w:type="dxa"/>
              <w:left w:w="85" w:type="dxa"/>
              <w:bottom w:w="85" w:type="dxa"/>
              <w:right w:w="85" w:type="dxa"/>
            </w:tcMar>
          </w:tcPr>
          <w:p w14:paraId="54134BCD"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First-person narration uses personal and possessive pronouns contributing to cohesion and empathy.</w:t>
            </w:r>
          </w:p>
        </w:tc>
      </w:tr>
      <w:tr w:rsidR="00BD7D38" w:rsidRPr="00BD7D38" w14:paraId="4651DC43" w14:textId="77777777" w:rsidTr="00BE27D6">
        <w:tc>
          <w:tcPr>
            <w:tcW w:w="841" w:type="dxa"/>
            <w:tcMar>
              <w:top w:w="85" w:type="dxa"/>
              <w:left w:w="85" w:type="dxa"/>
              <w:bottom w:w="85" w:type="dxa"/>
              <w:right w:w="85" w:type="dxa"/>
            </w:tcMar>
          </w:tcPr>
          <w:p w14:paraId="2AF21B25"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Linking pronouns </w:t>
            </w:r>
          </w:p>
        </w:tc>
        <w:tc>
          <w:tcPr>
            <w:tcW w:w="20143" w:type="dxa"/>
            <w:tcMar>
              <w:top w:w="85" w:type="dxa"/>
              <w:left w:w="85" w:type="dxa"/>
              <w:bottom w:w="85" w:type="dxa"/>
              <w:right w:w="85" w:type="dxa"/>
            </w:tcMar>
          </w:tcPr>
          <w:p w14:paraId="25083123"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Linking pronouns are used to maintain cohesion and guide readers through the progression of ideas and events.</w:t>
            </w:r>
          </w:p>
        </w:tc>
      </w:tr>
      <w:tr w:rsidR="00BD7D38" w:rsidRPr="00BD7D38" w14:paraId="0F6487E0" w14:textId="77777777" w:rsidTr="00BE27D6">
        <w:tc>
          <w:tcPr>
            <w:tcW w:w="841" w:type="dxa"/>
            <w:tcMar>
              <w:top w:w="85" w:type="dxa"/>
              <w:left w:w="85" w:type="dxa"/>
              <w:bottom w:w="85" w:type="dxa"/>
              <w:right w:w="85" w:type="dxa"/>
            </w:tcMar>
          </w:tcPr>
          <w:p w14:paraId="4D7BDA4B"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lastRenderedPageBreak/>
              <w:t>Subjective/objective language</w:t>
            </w:r>
          </w:p>
        </w:tc>
        <w:tc>
          <w:tcPr>
            <w:tcW w:w="20143" w:type="dxa"/>
            <w:tcMar>
              <w:top w:w="85" w:type="dxa"/>
              <w:left w:w="85" w:type="dxa"/>
              <w:bottom w:w="85" w:type="dxa"/>
              <w:right w:w="85" w:type="dxa"/>
            </w:tcMar>
          </w:tcPr>
          <w:p w14:paraId="237254ED"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Subjective: the characters' personal thoughts and feelings are expressed, allowing readers to connect emotionally with their experiences.</w:t>
            </w:r>
          </w:p>
          <w:p w14:paraId="7430CE3A"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Objective: </w:t>
            </w:r>
            <w:proofErr w:type="gramStart"/>
            <w:r w:rsidRPr="00BD7D38">
              <w:rPr>
                <w:rFonts w:ascii="Arial" w:eastAsia="SimSun" w:hAnsi="Arial" w:cs="Times New Roman"/>
                <w:kern w:val="0"/>
                <w:sz w:val="18"/>
                <w14:ligatures w14:val="none"/>
              </w:rPr>
              <w:t>factual information</w:t>
            </w:r>
            <w:proofErr w:type="gramEnd"/>
            <w:r w:rsidRPr="00BD7D38">
              <w:rPr>
                <w:rFonts w:ascii="Arial" w:eastAsia="SimSun" w:hAnsi="Arial" w:cs="Times New Roman"/>
                <w:kern w:val="0"/>
                <w:sz w:val="18"/>
                <w14:ligatures w14:val="none"/>
              </w:rPr>
              <w:t xml:space="preserve"> about environmental issues and cultural practices is presented, providing a balanced perspective.</w:t>
            </w:r>
          </w:p>
        </w:tc>
      </w:tr>
      <w:tr w:rsidR="00BD7D38" w:rsidRPr="00BD7D38" w14:paraId="7C2D7B7A" w14:textId="77777777" w:rsidTr="00BE27D6">
        <w:tc>
          <w:tcPr>
            <w:tcW w:w="841" w:type="dxa"/>
            <w:tcMar>
              <w:top w:w="85" w:type="dxa"/>
              <w:left w:w="85" w:type="dxa"/>
              <w:bottom w:w="85" w:type="dxa"/>
              <w:right w:w="85" w:type="dxa"/>
            </w:tcMar>
          </w:tcPr>
          <w:p w14:paraId="1EBD5925"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Reported and direct speech from reliable sources</w:t>
            </w:r>
          </w:p>
        </w:tc>
        <w:tc>
          <w:tcPr>
            <w:tcW w:w="20143" w:type="dxa"/>
            <w:tcMar>
              <w:top w:w="85" w:type="dxa"/>
              <w:left w:w="85" w:type="dxa"/>
              <w:bottom w:w="85" w:type="dxa"/>
              <w:right w:w="85" w:type="dxa"/>
            </w:tcMar>
          </w:tcPr>
          <w:p w14:paraId="61119FD4"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The narrative includes direct speech in dialogue and references to </w:t>
            </w:r>
            <w:proofErr w:type="gramStart"/>
            <w:r w:rsidRPr="00BD7D38">
              <w:rPr>
                <w:rFonts w:ascii="Arial" w:eastAsia="SimSun" w:hAnsi="Arial" w:cs="Times New Roman"/>
                <w:kern w:val="0"/>
                <w:sz w:val="18"/>
                <w14:ligatures w14:val="none"/>
              </w:rPr>
              <w:t>factual information</w:t>
            </w:r>
            <w:proofErr w:type="gramEnd"/>
            <w:r w:rsidRPr="00BD7D38">
              <w:rPr>
                <w:rFonts w:ascii="Arial" w:eastAsia="SimSun" w:hAnsi="Arial" w:cs="Times New Roman"/>
                <w:kern w:val="0"/>
                <w:sz w:val="18"/>
                <w14:ligatures w14:val="none"/>
              </w:rPr>
              <w:t>, lending authenticity and credibility to the issues discussed.</w:t>
            </w:r>
          </w:p>
        </w:tc>
      </w:tr>
      <w:tr w:rsidR="00BD7D38" w:rsidRPr="00BD7D38" w14:paraId="0AF7624D" w14:textId="77777777" w:rsidTr="00BE27D6">
        <w:tc>
          <w:tcPr>
            <w:tcW w:w="841" w:type="dxa"/>
            <w:tcMar>
              <w:top w:w="85" w:type="dxa"/>
              <w:left w:w="85" w:type="dxa"/>
              <w:bottom w:w="85" w:type="dxa"/>
              <w:right w:w="85" w:type="dxa"/>
            </w:tcMar>
          </w:tcPr>
          <w:p w14:paraId="77E6F3FF"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Time connectives</w:t>
            </w:r>
          </w:p>
        </w:tc>
        <w:tc>
          <w:tcPr>
            <w:tcW w:w="20143" w:type="dxa"/>
            <w:tcMar>
              <w:top w:w="85" w:type="dxa"/>
              <w:left w:w="85" w:type="dxa"/>
              <w:bottom w:w="85" w:type="dxa"/>
              <w:right w:w="85" w:type="dxa"/>
            </w:tcMar>
          </w:tcPr>
          <w:p w14:paraId="722B876D"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Temporal phrases (for example: before, after, meanwhile) are used to sequence events and transitions between different characters' narratives.</w:t>
            </w:r>
          </w:p>
        </w:tc>
      </w:tr>
      <w:tr w:rsidR="00BD7D38" w:rsidRPr="00BD7D38" w14:paraId="65D5F58C" w14:textId="77777777" w:rsidTr="00BE27D6">
        <w:tc>
          <w:tcPr>
            <w:tcW w:w="841" w:type="dxa"/>
            <w:tcMar>
              <w:top w:w="85" w:type="dxa"/>
              <w:left w:w="85" w:type="dxa"/>
              <w:bottom w:w="85" w:type="dxa"/>
              <w:right w:w="85" w:type="dxa"/>
            </w:tcMar>
          </w:tcPr>
          <w:p w14:paraId="4F82E7A2"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 xml:space="preserve">Words to connect ideas </w:t>
            </w:r>
          </w:p>
        </w:tc>
        <w:tc>
          <w:tcPr>
            <w:tcW w:w="20143" w:type="dxa"/>
            <w:tcMar>
              <w:top w:w="85" w:type="dxa"/>
              <w:left w:w="85" w:type="dxa"/>
              <w:bottom w:w="85" w:type="dxa"/>
              <w:right w:w="85" w:type="dxa"/>
            </w:tcMar>
          </w:tcPr>
          <w:p w14:paraId="6BFD0C83"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Conjunctions are employed to link ideas and arguments, enhancing the logical flow of the narrative. Natural use of cohesive devices helps with argument flow.</w:t>
            </w:r>
          </w:p>
        </w:tc>
      </w:tr>
      <w:tr w:rsidR="00BD7D38" w:rsidRPr="00BD7D38" w14:paraId="2E34F40B" w14:textId="77777777" w:rsidTr="00BE27D6">
        <w:tc>
          <w:tcPr>
            <w:tcW w:w="841" w:type="dxa"/>
            <w:tcMar>
              <w:top w:w="85" w:type="dxa"/>
              <w:left w:w="85" w:type="dxa"/>
              <w:bottom w:w="85" w:type="dxa"/>
              <w:right w:w="85" w:type="dxa"/>
            </w:tcMar>
          </w:tcPr>
          <w:p w14:paraId="5C39F4B8"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Literary devices, rhetorical devices, figurative language</w:t>
            </w:r>
          </w:p>
        </w:tc>
        <w:tc>
          <w:tcPr>
            <w:tcW w:w="20143" w:type="dxa"/>
            <w:tcMar>
              <w:top w:w="85" w:type="dxa"/>
              <w:left w:w="85" w:type="dxa"/>
              <w:bottom w:w="85" w:type="dxa"/>
              <w:right w:w="85" w:type="dxa"/>
            </w:tcMar>
          </w:tcPr>
          <w:p w14:paraId="366E1029"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The novel utilises rhetorical questions, repetition and emotive language to persuade and engage readers, particularly in conveying the urgency of environmental issues.</w:t>
            </w:r>
          </w:p>
          <w:p w14:paraId="376EBC27" w14:textId="77777777" w:rsidR="00BD7D38" w:rsidRPr="00BD7D38" w:rsidRDefault="00BD7D38" w:rsidP="00BD7D38">
            <w:pPr>
              <w:snapToGrid w:val="0"/>
              <w:spacing w:after="60" w:line="220" w:lineRule="atLeast"/>
              <w:rPr>
                <w:rFonts w:ascii="Arial" w:eastAsia="SimSun" w:hAnsi="Arial" w:cs="Times New Roman"/>
                <w:kern w:val="0"/>
                <w:sz w:val="18"/>
                <w14:ligatures w14:val="none"/>
              </w:rPr>
            </w:pPr>
            <w:r w:rsidRPr="00BD7D38">
              <w:rPr>
                <w:rFonts w:ascii="Arial" w:eastAsia="SimSun" w:hAnsi="Arial" w:cs="Times New Roman"/>
                <w:kern w:val="0"/>
                <w:sz w:val="18"/>
                <w14:ligatures w14:val="none"/>
              </w:rPr>
              <w:t>Metaphors and similes enrich the text, such as in describing the orangutan's memories of the forest, which evoke emotional responses and deepen readers' understanding.</w:t>
            </w:r>
          </w:p>
        </w:tc>
      </w:tr>
    </w:tbl>
    <w:p w14:paraId="40831599" w14:textId="77777777" w:rsidR="00BD7D38" w:rsidRPr="00BD7D38" w:rsidRDefault="00BD7D38" w:rsidP="00BD7D38">
      <w:pPr>
        <w:spacing w:after="0" w:line="240" w:lineRule="auto"/>
        <w:rPr>
          <w:rFonts w:ascii="Arial" w:eastAsia="SimSun" w:hAnsi="Arial" w:cs="Times New Roman"/>
          <w:kern w:val="0"/>
          <w:sz w:val="22"/>
          <w:lang w:eastAsia="zh-CN"/>
          <w14:ligatures w14:val="none"/>
        </w:rPr>
      </w:pPr>
    </w:p>
    <w:p w14:paraId="7FE072FB" w14:textId="77777777" w:rsidR="00BD7D38" w:rsidRPr="00BD7D38" w:rsidRDefault="00BD7D38" w:rsidP="00BD7D38">
      <w:pPr>
        <w:spacing w:after="0" w:line="240" w:lineRule="auto"/>
        <w:rPr>
          <w:rFonts w:ascii="Arial" w:eastAsia="SimSun" w:hAnsi="Arial" w:cs="Times New Roman"/>
          <w:kern w:val="0"/>
          <w:sz w:val="22"/>
          <w:lang w:eastAsia="zh-CN"/>
          <w14:ligatures w14:val="none"/>
        </w:rPr>
      </w:pPr>
      <w:r w:rsidRPr="00BD7D38">
        <w:rPr>
          <w:rFonts w:ascii="Arial" w:eastAsia="SimSun" w:hAnsi="Arial" w:cs="Times New Roman"/>
          <w:kern w:val="0"/>
          <w:sz w:val="22"/>
          <w:lang w:eastAsia="zh-CN"/>
          <w14:ligatures w14:val="none"/>
        </w:rPr>
        <w:br w:type="page"/>
      </w:r>
    </w:p>
    <w:p w14:paraId="21AD7710" w14:textId="77777777" w:rsidR="005A589F" w:rsidRDefault="005A589F"/>
    <w:sectPr w:rsidR="005A589F" w:rsidSect="00BE27D6">
      <w:pgSz w:w="16838" w:h="11906" w:orient="landscape"/>
      <w:pgMar w:top="1440" w:right="1440" w:bottom="99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9F"/>
    <w:rsid w:val="005A589F"/>
    <w:rsid w:val="00B77182"/>
    <w:rsid w:val="00BD7D38"/>
    <w:rsid w:val="00BE27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F5983C-1E8E-4780-B90B-6FA319BC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89F"/>
    <w:rPr>
      <w:rFonts w:eastAsiaTheme="majorEastAsia" w:cstheme="majorBidi"/>
      <w:color w:val="272727" w:themeColor="text1" w:themeTint="D8"/>
    </w:rPr>
  </w:style>
  <w:style w:type="paragraph" w:styleId="Title">
    <w:name w:val="Title"/>
    <w:basedOn w:val="Normal"/>
    <w:next w:val="Normal"/>
    <w:link w:val="TitleChar"/>
    <w:uiPriority w:val="10"/>
    <w:qFormat/>
    <w:rsid w:val="005A5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89F"/>
    <w:pPr>
      <w:spacing w:before="160"/>
      <w:jc w:val="center"/>
    </w:pPr>
    <w:rPr>
      <w:i/>
      <w:iCs/>
      <w:color w:val="404040" w:themeColor="text1" w:themeTint="BF"/>
    </w:rPr>
  </w:style>
  <w:style w:type="character" w:customStyle="1" w:styleId="QuoteChar">
    <w:name w:val="Quote Char"/>
    <w:basedOn w:val="DefaultParagraphFont"/>
    <w:link w:val="Quote"/>
    <w:uiPriority w:val="29"/>
    <w:rsid w:val="005A589F"/>
    <w:rPr>
      <w:i/>
      <w:iCs/>
      <w:color w:val="404040" w:themeColor="text1" w:themeTint="BF"/>
    </w:rPr>
  </w:style>
  <w:style w:type="paragraph" w:styleId="ListParagraph">
    <w:name w:val="List Paragraph"/>
    <w:basedOn w:val="Normal"/>
    <w:uiPriority w:val="34"/>
    <w:qFormat/>
    <w:rsid w:val="005A589F"/>
    <w:pPr>
      <w:ind w:left="720"/>
      <w:contextualSpacing/>
    </w:pPr>
  </w:style>
  <w:style w:type="character" w:styleId="IntenseEmphasis">
    <w:name w:val="Intense Emphasis"/>
    <w:basedOn w:val="DefaultParagraphFont"/>
    <w:uiPriority w:val="21"/>
    <w:qFormat/>
    <w:rsid w:val="005A589F"/>
    <w:rPr>
      <w:i/>
      <w:iCs/>
      <w:color w:val="0F4761" w:themeColor="accent1" w:themeShade="BF"/>
    </w:rPr>
  </w:style>
  <w:style w:type="paragraph" w:styleId="IntenseQuote">
    <w:name w:val="Intense Quote"/>
    <w:basedOn w:val="Normal"/>
    <w:next w:val="Normal"/>
    <w:link w:val="IntenseQuoteChar"/>
    <w:uiPriority w:val="30"/>
    <w:qFormat/>
    <w:rsid w:val="005A5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89F"/>
    <w:rPr>
      <w:i/>
      <w:iCs/>
      <w:color w:val="0F4761" w:themeColor="accent1" w:themeShade="BF"/>
    </w:rPr>
  </w:style>
  <w:style w:type="character" w:styleId="IntenseReference">
    <w:name w:val="Intense Reference"/>
    <w:basedOn w:val="DefaultParagraphFont"/>
    <w:uiPriority w:val="32"/>
    <w:qFormat/>
    <w:rsid w:val="005A5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SUTHERLAND, Douglas (dsuth10)</dc:creator>
  <cp:keywords/>
  <dc:description/>
  <cp:lastModifiedBy>SUTHERLAND, Douglas (dsuth10)</cp:lastModifiedBy>
  <cp:revision>3</cp:revision>
  <dcterms:created xsi:type="dcterms:W3CDTF">2026-06-18T02:07:00Z</dcterms:created>
  <dcterms:modified xsi:type="dcterms:W3CDTF">2026-06-18T02:10:00Z</dcterms:modified>
</cp:coreProperties>
</file>