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40" w:lineRule="auto"/>
      </w:pPr>
      <w:r>
        <w:rPr>
          <w:rFonts w:ascii="Calibri" w:hAnsi="Calibri"/>
          <w:b/>
          <w:color w:val="4C7774"/>
          <w:sz w:val="18"/>
        </w:rPr>
        <w:t>ORIGINAL LETTERS TO THE EDITOR</w:t>
      </w:r>
    </w:p>
    <w:p>
      <w:pPr>
        <w:keepNext/>
        <w:spacing w:before="0" w:after="60" w:line="240" w:lineRule="auto"/>
      </w:pPr>
      <w:r>
        <w:rPr>
          <w:rFonts w:ascii="Calibri" w:hAnsi="Calibri"/>
          <w:b/>
          <w:color w:val="202F3B"/>
          <w:sz w:val="46"/>
        </w:rPr>
        <w:t>Letters from Seabreeze Square</w:t>
      </w:r>
    </w:p>
    <w:p>
      <w:pPr>
        <w:keepNext w:val="0"/>
        <w:spacing w:before="0" w:after="160" w:line="252" w:lineRule="auto"/>
        <w:pBdr>
          <w:bottom w:val="single" w:sz="16" w:space="8" w:color="D5A84B"/>
        </w:pBdr>
      </w:pPr>
      <w:r>
        <w:rPr>
          <w:rFonts w:ascii="Calibri" w:hAnsi="Calibri"/>
          <w:i/>
          <w:color w:val="66737B"/>
          <w:sz w:val="23"/>
        </w:rPr>
        <w:t>Six writers. One proposal. Different ways of pulling the reader.</w:t>
      </w:r>
    </w:p>
    <w:p>
      <w:pPr>
        <w:keepNext w:val="0"/>
        <w:spacing w:before="0" w:after="120" w:line="240" w:lineRule="auto"/>
        <w:jc w:val="right"/>
      </w:pPr>
      <w:r>
        <w:rPr>
          <w:rFonts w:ascii="Calibri" w:hAnsi="Calibri"/>
          <w:b/>
          <w:color w:val="66737B"/>
          <w:sz w:val="17"/>
        </w:rPr>
        <w:t>READ  |  MARK  |  COMPARE</w:t>
      </w:r>
    </w:p>
    <w:p>
      <w:pPr>
        <w:keepNext w:val="0"/>
        <w:spacing w:before="90" w:after="90" w:line="276" w:lineRule="auto"/>
        <w:shd w:fill="EAF2F0"/>
        <w:pBdr>
          <w:left w:val="single" w:sz="22" w:space="8" w:color="4C7774"/>
        </w:pBdr>
      </w:pPr>
      <w:r>
        <w:rPr>
          <w:rFonts w:ascii="Calibri" w:hAnsi="Calibri"/>
          <w:b/>
          <w:color w:val="4C7774"/>
          <w:sz w:val="21"/>
        </w:rPr>
        <w:t xml:space="preserve">Shared decision: </w:t>
      </w:r>
      <w:r>
        <w:rPr>
          <w:rFonts w:ascii="Calibri" w:hAnsi="Calibri"/>
          <w:color w:val="263139"/>
          <w:sz w:val="21"/>
        </w:rPr>
        <w:t>Should fictional Seabreeze Council run a six-Friday food-truck trial at Seabreeze Square?</w:t>
      </w:r>
    </w:p>
    <w:p>
      <w:pPr>
        <w:keepNext w:val="0"/>
        <w:spacing w:before="90" w:after="90" w:line="276" w:lineRule="auto"/>
        <w:shd w:fill="FFF2D6"/>
        <w:pBdr>
          <w:left w:val="single" w:sz="22" w:space="8" w:color="A9564D"/>
        </w:pBdr>
      </w:pPr>
      <w:r>
        <w:rPr>
          <w:rFonts w:ascii="Calibri" w:hAnsi="Calibri"/>
          <w:b/>
          <w:color w:val="A9564D"/>
          <w:sz w:val="21"/>
        </w:rPr>
        <w:t xml:space="preserve">Fiction boundary: </w:t>
      </w:r>
      <w:r>
        <w:rPr>
          <w:rFonts w:ascii="Calibri" w:hAnsi="Calibri"/>
          <w:color w:val="263139"/>
          <w:sz w:val="21"/>
        </w:rPr>
        <w:t>The council, square, proposal, writers and quotations are invented. The editor's briefing below is the only shared local fact base.</w:t>
      </w:r>
    </w:p>
    <w:p>
      <w:pPr>
        <w:pStyle w:val="Heading1"/>
        <w:keepNext/>
        <w:spacing w:before="180" w:after="100" w:line="240" w:lineRule="auto"/>
      </w:pPr>
      <w:r>
        <w:rPr>
          <w:rFonts w:ascii="Calibri" w:hAnsi="Calibri"/>
          <w:b/>
          <w:color w:val="334C5C"/>
          <w:sz w:val="30"/>
        </w:rPr>
        <w:t>Editor's verified briefing</w:t>
      </w:r>
    </w:p>
    <w:tbl>
      <w:tblPr>
        <w:tblStyle w:val="TableGrid"/>
        <w:tblW w:type="dxa" w:w="10178"/>
        <w:jc w:val="left"/>
        <w:tblLayout w:type="fixed"/>
        <w:tblLook w:firstColumn="1" w:firstRow="1" w:lastColumn="0" w:lastRow="0" w:noHBand="0" w:noVBand="1" w:val="04A0"/>
        <w:tblInd w:w="120" w:type="dxa"/>
      </w:tblPr>
      <w:tblGrid>
        <w:gridCol w:w="5089"/>
        <w:gridCol w:w="5089"/>
      </w:tblGrid>
      <w:tr>
        <w:trPr>
          <w:cantSplit/>
          <w:tblHeader w:val="true"/>
        </w:trPr>
        <w:tc>
          <w:tcPr>
            <w:tcW w:type="dxa" w:w="5089"/>
            <w:vAlign w:val="center"/>
            <w:tcMar>
              <w:top w:w="90" w:type="dxa"/>
              <w:start w:w="120" w:type="dxa"/>
              <w:bottom w:w="90" w:type="dxa"/>
              <w:end w:w="120" w:type="dxa"/>
            </w:tcMar>
            <w:shd w:fill="334C5C"/>
          </w:tcPr>
          <w:p>
            <w:pPr>
              <w:keepNext w:val="0"/>
              <w:spacing w:before="0" w:after="0" w:line="259" w:lineRule="auto"/>
              <w:jc w:val="center"/>
            </w:pPr>
            <w:r/>
            <w:r>
              <w:rPr>
                <w:rFonts w:ascii="Calibri" w:hAnsi="Calibri"/>
                <w:b/>
                <w:color w:val="FFFFFF"/>
                <w:sz w:val="18"/>
              </w:rPr>
              <w:t>What the draft says</w:t>
            </w:r>
          </w:p>
        </w:tc>
        <w:tc>
          <w:tcPr>
            <w:tcW w:type="dxa" w:w="5089"/>
            <w:vAlign w:val="center"/>
            <w:tcMar>
              <w:top w:w="90" w:type="dxa"/>
              <w:start w:w="120" w:type="dxa"/>
              <w:bottom w:w="90" w:type="dxa"/>
              <w:end w:w="120" w:type="dxa"/>
            </w:tcMar>
            <w:shd w:fill="334C5C"/>
          </w:tcPr>
          <w:p>
            <w:pPr>
              <w:keepNext w:val="0"/>
              <w:spacing w:before="0" w:after="0" w:line="259" w:lineRule="auto"/>
              <w:jc w:val="center"/>
            </w:pPr>
            <w:r/>
            <w:r>
              <w:rPr>
                <w:rFonts w:ascii="Calibri" w:hAnsi="Calibri"/>
                <w:b/>
                <w:color w:val="FFFFFF"/>
                <w:sz w:val="18"/>
              </w:rPr>
              <w:t>What it does not prove</w:t>
            </w:r>
          </w:p>
        </w:tc>
      </w:tr>
      <w:tr>
        <w:tc>
          <w:tcPr>
            <w:tcW w:type="dxa" w:w="5089"/>
          </w:tcPr>
          <w:p>
            <w:pPr>
              <w:keepNext w:val="0"/>
              <w:spacing w:before="0" w:after="0" w:line="259" w:lineRule="auto"/>
            </w:pPr>
            <w:r/>
            <w:r>
              <w:rPr>
                <w:rFonts w:ascii="Calibri" w:hAnsi="Calibri"/>
                <w:b w:val="0"/>
                <w:color w:val="263139"/>
                <w:sz w:val="18"/>
              </w:rPr>
              <w:t>Six Friday evenings; 5:00-8:00 pm; maximum eight food trucks; waste stations; accessible path; council review after the trial.</w:t>
            </w:r>
          </w:p>
        </w:tc>
        <w:tc>
          <w:tcPr>
            <w:tcW w:type="dxa" w:w="5089"/>
          </w:tcPr>
          <w:p>
            <w:pPr>
              <w:keepNext w:val="0"/>
              <w:spacing w:before="0" w:after="0" w:line="259" w:lineRule="auto"/>
            </w:pPr>
            <w:r/>
            <w:r>
              <w:rPr>
                <w:rFonts w:ascii="Calibri" w:hAnsi="Calibri"/>
                <w:b w:val="0"/>
                <w:color w:val="263139"/>
                <w:sz w:val="18"/>
              </w:rPr>
              <w:t>Future noise, profit, parking failure, litter, community renewal, permanent continuation or universal support.</w:t>
            </w:r>
          </w:p>
        </w:tc>
      </w:tr>
    </w:tbl>
    <w:p>
      <w:pPr>
        <w:keepNext w:val="0"/>
        <w:spacing w:before="0" w:after="40" w:line="276" w:lineRule="auto"/>
      </w:pPr>
    </w:p>
    <w:p>
      <w:pPr>
        <w:pStyle w:val="Heading1"/>
        <w:keepNext/>
        <w:spacing w:before="180" w:after="100" w:line="240" w:lineRule="auto"/>
      </w:pPr>
      <w:r>
        <w:rPr>
          <w:rFonts w:ascii="Calibri" w:hAnsi="Calibri"/>
          <w:b/>
          <w:color w:val="334C5C"/>
          <w:sz w:val="30"/>
        </w:rPr>
        <w:t>Bias leaves five fingerprints</w:t>
      </w:r>
    </w:p>
    <w:tbl>
      <w:tblPr>
        <w:tblStyle w:val="TableGrid"/>
        <w:tblW w:type="dxa" w:w="10178"/>
        <w:jc w:val="left"/>
        <w:tblLayout w:type="fixed"/>
        <w:tblLook w:firstColumn="1" w:firstRow="1" w:lastColumn="0" w:lastRow="0" w:noHBand="0" w:noVBand="1" w:val="04A0"/>
        <w:tblInd w:w="120" w:type="dxa"/>
      </w:tblPr>
      <w:tblGrid>
        <w:gridCol w:w="3400"/>
        <w:gridCol w:w="6778"/>
      </w:tblGrid>
      <w:tr>
        <w:trPr>
          <w:cantSplit/>
          <w:tblHeader w:val="true"/>
        </w:trPr>
        <w:tc>
          <w:tcPr>
            <w:tcW w:type="dxa" w:w="3400"/>
            <w:vAlign w:val="center"/>
            <w:tcMar>
              <w:top w:w="90" w:type="dxa"/>
              <w:start w:w="120" w:type="dxa"/>
              <w:bottom w:w="90" w:type="dxa"/>
              <w:end w:w="120" w:type="dxa"/>
            </w:tcMar>
            <w:shd w:fill="334C5C"/>
          </w:tcPr>
          <w:p>
            <w:pPr>
              <w:keepNext w:val="0"/>
              <w:spacing w:before="0" w:after="0" w:line="259" w:lineRule="auto"/>
              <w:jc w:val="center"/>
            </w:pPr>
            <w:r/>
            <w:r>
              <w:rPr>
                <w:rFonts w:ascii="Calibri" w:hAnsi="Calibri"/>
                <w:b/>
                <w:color w:val="FFFFFF"/>
                <w:sz w:val="18"/>
              </w:rPr>
              <w:t>Fingerprint</w:t>
            </w:r>
          </w:p>
        </w:tc>
        <w:tc>
          <w:tcPr>
            <w:tcW w:type="dxa" w:w="6778"/>
            <w:vAlign w:val="center"/>
            <w:tcMar>
              <w:top w:w="90" w:type="dxa"/>
              <w:start w:w="120" w:type="dxa"/>
              <w:bottom w:w="90" w:type="dxa"/>
              <w:end w:w="120" w:type="dxa"/>
            </w:tcMar>
            <w:shd w:fill="334C5C"/>
          </w:tcPr>
          <w:p>
            <w:pPr>
              <w:keepNext w:val="0"/>
              <w:spacing w:before="0" w:after="0" w:line="259" w:lineRule="auto"/>
              <w:jc w:val="center"/>
            </w:pPr>
            <w:r/>
            <w:r>
              <w:rPr>
                <w:rFonts w:ascii="Calibri" w:hAnsi="Calibri"/>
                <w:b/>
                <w:color w:val="FFFFFF"/>
                <w:sz w:val="18"/>
              </w:rPr>
              <w:t>What to notice</w:t>
            </w:r>
          </w:p>
        </w:tc>
      </w:tr>
      <w:tr>
        <w:tc>
          <w:tcPr>
            <w:tcW w:type="dxa" w:w="3400"/>
          </w:tcPr>
          <w:p>
            <w:pPr>
              <w:keepNext w:val="0"/>
              <w:spacing w:before="0" w:after="0" w:line="259" w:lineRule="auto"/>
            </w:pPr>
            <w:r/>
            <w:r>
              <w:rPr>
                <w:rFonts w:ascii="Calibri" w:hAnsi="Calibri"/>
                <w:b w:val="0"/>
                <w:color w:val="263139"/>
                <w:sz w:val="18"/>
              </w:rPr>
              <w:t>Loaded evaluation</w:t>
            </w:r>
          </w:p>
        </w:tc>
        <w:tc>
          <w:tcPr>
            <w:tcW w:type="dxa" w:w="6778"/>
          </w:tcPr>
          <w:p>
            <w:pPr>
              <w:keepNext w:val="0"/>
              <w:spacing w:before="0" w:after="0" w:line="259" w:lineRule="auto"/>
            </w:pPr>
            <w:r/>
            <w:r>
              <w:rPr>
                <w:rFonts w:ascii="Calibri" w:hAnsi="Calibri"/>
                <w:b w:val="0"/>
                <w:color w:val="263139"/>
                <w:sz w:val="18"/>
              </w:rPr>
              <w:t>words that praise, shame, alarm or minimise</w:t>
            </w:r>
          </w:p>
        </w:tc>
      </w:tr>
      <w:tr>
        <w:tc>
          <w:tcPr>
            <w:tcW w:type="dxa" w:w="3400"/>
            <w:shd w:fill="F7FAFB"/>
          </w:tcPr>
          <w:p>
            <w:pPr>
              <w:keepNext w:val="0"/>
              <w:spacing w:before="0" w:after="0" w:line="259" w:lineRule="auto"/>
            </w:pPr>
            <w:r/>
            <w:r>
              <w:rPr>
                <w:rFonts w:ascii="Calibri" w:hAnsi="Calibri"/>
                <w:b w:val="0"/>
                <w:color w:val="263139"/>
                <w:sz w:val="18"/>
              </w:rPr>
              <w:t>Sweeping generalisation</w:t>
            </w:r>
          </w:p>
        </w:tc>
        <w:tc>
          <w:tcPr>
            <w:tcW w:type="dxa" w:w="6778"/>
            <w:shd w:fill="F7FAFB"/>
          </w:tcPr>
          <w:p>
            <w:pPr>
              <w:keepNext w:val="0"/>
              <w:spacing w:before="0" w:after="0" w:line="259" w:lineRule="auto"/>
            </w:pPr>
            <w:r/>
            <w:r>
              <w:rPr>
                <w:rFonts w:ascii="Calibri" w:hAnsi="Calibri"/>
                <w:b w:val="0"/>
                <w:color w:val="263139"/>
                <w:sz w:val="18"/>
              </w:rPr>
              <w:t>everyone, nobody, always, every, only</w:t>
            </w:r>
          </w:p>
        </w:tc>
      </w:tr>
      <w:tr>
        <w:tc>
          <w:tcPr>
            <w:tcW w:type="dxa" w:w="3400"/>
          </w:tcPr>
          <w:p>
            <w:pPr>
              <w:keepNext w:val="0"/>
              <w:spacing w:before="0" w:after="0" w:line="259" w:lineRule="auto"/>
            </w:pPr>
            <w:r/>
            <w:r>
              <w:rPr>
                <w:rFonts w:ascii="Calibri" w:hAnsi="Calibri"/>
                <w:b w:val="0"/>
                <w:color w:val="263139"/>
                <w:sz w:val="18"/>
              </w:rPr>
              <w:t>Assumed motive</w:t>
            </w:r>
          </w:p>
        </w:tc>
        <w:tc>
          <w:tcPr>
            <w:tcW w:type="dxa" w:w="6778"/>
          </w:tcPr>
          <w:p>
            <w:pPr>
              <w:keepNext w:val="0"/>
              <w:spacing w:before="0" w:after="0" w:line="259" w:lineRule="auto"/>
            </w:pPr>
            <w:r/>
            <w:r>
              <w:rPr>
                <w:rFonts w:ascii="Calibri" w:hAnsi="Calibri"/>
                <w:b w:val="0"/>
                <w:color w:val="263139"/>
                <w:sz w:val="18"/>
              </w:rPr>
              <w:t>claims about why another person acts</w:t>
            </w:r>
          </w:p>
        </w:tc>
      </w:tr>
      <w:tr>
        <w:tc>
          <w:tcPr>
            <w:tcW w:type="dxa" w:w="3400"/>
            <w:shd w:fill="F7FAFB"/>
          </w:tcPr>
          <w:p>
            <w:pPr>
              <w:keepNext w:val="0"/>
              <w:spacing w:before="0" w:after="0" w:line="259" w:lineRule="auto"/>
            </w:pPr>
            <w:r/>
            <w:r>
              <w:rPr>
                <w:rFonts w:ascii="Calibri" w:hAnsi="Calibri"/>
                <w:b w:val="0"/>
                <w:color w:val="263139"/>
                <w:sz w:val="18"/>
              </w:rPr>
              <w:t>Omission / selection</w:t>
            </w:r>
          </w:p>
        </w:tc>
        <w:tc>
          <w:tcPr>
            <w:tcW w:type="dxa" w:w="6778"/>
            <w:shd w:fill="F7FAFB"/>
          </w:tcPr>
          <w:p>
            <w:pPr>
              <w:keepNext w:val="0"/>
              <w:spacing w:before="0" w:after="0" w:line="259" w:lineRule="auto"/>
            </w:pPr>
            <w:r/>
            <w:r>
              <w:rPr>
                <w:rFonts w:ascii="Calibri" w:hAnsi="Calibri"/>
                <w:b w:val="0"/>
                <w:color w:val="263139"/>
                <w:sz w:val="18"/>
              </w:rPr>
              <w:t>important detail foregrounded or left out</w:t>
            </w:r>
          </w:p>
        </w:tc>
      </w:tr>
      <w:tr>
        <w:tc>
          <w:tcPr>
            <w:tcW w:type="dxa" w:w="3400"/>
          </w:tcPr>
          <w:p>
            <w:pPr>
              <w:keepNext w:val="0"/>
              <w:spacing w:before="0" w:after="0" w:line="259" w:lineRule="auto"/>
            </w:pPr>
            <w:r/>
            <w:r>
              <w:rPr>
                <w:rFonts w:ascii="Calibri" w:hAnsi="Calibri"/>
                <w:b w:val="0"/>
                <w:color w:val="263139"/>
                <w:sz w:val="18"/>
              </w:rPr>
              <w:t>Unsupported certainty / false choice</w:t>
            </w:r>
          </w:p>
        </w:tc>
        <w:tc>
          <w:tcPr>
            <w:tcW w:type="dxa" w:w="6778"/>
          </w:tcPr>
          <w:p>
            <w:pPr>
              <w:keepNext w:val="0"/>
              <w:spacing w:before="0" w:after="0" w:line="259" w:lineRule="auto"/>
            </w:pPr>
            <w:r/>
            <w:r>
              <w:rPr>
                <w:rFonts w:ascii="Calibri" w:hAnsi="Calibri"/>
                <w:b w:val="0"/>
                <w:color w:val="263139"/>
                <w:sz w:val="18"/>
              </w:rPr>
              <w:t>prediction presented as fact; only two options allowed</w:t>
            </w:r>
          </w:p>
        </w:tc>
      </w:tr>
    </w:tbl>
    <w:p>
      <w:pPr>
        <w:keepNext w:val="0"/>
        <w:spacing w:before="0" w:after="40" w:line="276" w:lineRule="auto"/>
      </w:pPr>
    </w:p>
    <w:p>
      <w:r>
        <w:br w:type="page"/>
      </w:r>
    </w:p>
    <w:p>
      <w:pPr>
        <w:pStyle w:val="Heading1"/>
        <w:keepNext/>
        <w:spacing w:before="180" w:after="100" w:line="240" w:lineRule="auto"/>
      </w:pPr>
      <w:r>
        <w:rPr>
          <w:rFonts w:ascii="Calibri" w:hAnsi="Calibri"/>
          <w:b/>
          <w:color w:val="334C5C"/>
          <w:sz w:val="30"/>
        </w:rPr>
        <w:t>Letter A - Stop the Friday Food-Truck Circus</w:t>
      </w:r>
    </w:p>
    <w:p>
      <w:pPr>
        <w:keepNext w:val="0"/>
        <w:spacing w:before="0" w:after="80" w:line="276" w:lineRule="auto"/>
      </w:pPr>
      <w:r>
        <w:rPr>
          <w:rFonts w:ascii="Calibri" w:hAnsi="Calibri"/>
          <w:b/>
          <w:i w:val="0"/>
          <w:color w:val="4C7774"/>
          <w:sz w:val="21"/>
        </w:rPr>
        <w:t>From: Marina Vale, Square resident</w:t>
      </w:r>
    </w:p>
    <w:p>
      <w:pPr>
        <w:keepNext w:val="0"/>
        <w:spacing w:before="0" w:after="80" w:line="276" w:lineRule="auto"/>
      </w:pPr>
      <w:r>
        <w:rPr>
          <w:rFonts w:ascii="Calibri" w:hAnsi="Calibri"/>
          <w:b w:val="0"/>
          <w:i w:val="0"/>
          <w:color w:val="263139"/>
          <w:sz w:val="21"/>
        </w:rPr>
        <w:t>Seabreeze Square is about to be surrendered to a noisy food-truck circus. Reckless councillors appear more interested in colourful photographs than in the people who actually live here. Every resident knows that eight engines, queues and music will destroy the quiet of Friday evenings.</w:t>
      </w:r>
    </w:p>
    <w:p>
      <w:pPr>
        <w:keepNext w:val="0"/>
        <w:spacing w:before="0" w:after="80" w:line="276" w:lineRule="auto"/>
      </w:pPr>
      <w:r>
        <w:rPr>
          <w:rFonts w:ascii="Calibri" w:hAnsi="Calibri"/>
          <w:b w:val="0"/>
          <w:i w:val="0"/>
          <w:color w:val="263139"/>
          <w:sz w:val="21"/>
        </w:rPr>
        <w:t>The council calls this a six-week trial, but we all know what that means: once the trucks invade, they will never leave. Parking will become impossible, rubbish will tumble through the streets and local cafes will be abandoned. Nobody asked ordinary residents whether we wanted our square turned into a dining yard.</w:t>
      </w:r>
    </w:p>
    <w:p>
      <w:pPr>
        <w:keepNext w:val="0"/>
        <w:spacing w:before="0" w:after="80" w:line="276" w:lineRule="auto"/>
      </w:pPr>
      <w:r>
        <w:rPr>
          <w:rFonts w:ascii="Calibri" w:hAnsi="Calibri"/>
          <w:b w:val="0"/>
          <w:i w:val="0"/>
          <w:color w:val="263139"/>
          <w:sz w:val="21"/>
        </w:rPr>
        <w:t>Council must reject this foolish scheme before permanent damage is done. Either it protects the square now or admits that visitors matter more than residents.</w:t>
      </w:r>
    </w:p>
    <w:p>
      <w:pPr>
        <w:keepNext w:val="0"/>
        <w:spacing w:before="90" w:after="90" w:line="276" w:lineRule="auto"/>
        <w:shd w:fill="EEF1F3"/>
        <w:pBdr>
          <w:left w:val="single" w:sz="22" w:space="8" w:color="334C5C"/>
        </w:pBdr>
      </w:pPr>
      <w:r>
        <w:rPr>
          <w:rFonts w:ascii="Calibri" w:hAnsi="Calibri"/>
          <w:b/>
          <w:color w:val="334C5C"/>
          <w:sz w:val="21"/>
        </w:rPr>
        <w:t xml:space="preserve">Reader task: </w:t>
      </w:r>
      <w:r>
        <w:rPr>
          <w:rFonts w:ascii="Calibri" w:hAnsi="Calibri"/>
          <w:color w:val="263139"/>
          <w:sz w:val="21"/>
        </w:rPr>
        <w:t>Underline loaded or evaluative words; circle sweeping or certainty words; box a claim that goes beyond the editor's briefing; note one relevant omission.</w:t>
      </w:r>
    </w:p>
    <w:p>
      <w:r>
        <w:br w:type="page"/>
      </w:r>
    </w:p>
    <w:p>
      <w:pPr>
        <w:pStyle w:val="Heading1"/>
        <w:keepNext/>
        <w:spacing w:before="180" w:after="100" w:line="240" w:lineRule="auto"/>
      </w:pPr>
      <w:r>
        <w:rPr>
          <w:rFonts w:ascii="Calibri" w:hAnsi="Calibri"/>
          <w:b/>
          <w:color w:val="334C5C"/>
          <w:sz w:val="30"/>
        </w:rPr>
        <w:t>Letter B - Let the Town Wake Up</w:t>
      </w:r>
    </w:p>
    <w:p>
      <w:pPr>
        <w:keepNext w:val="0"/>
        <w:spacing w:before="0" w:after="80" w:line="276" w:lineRule="auto"/>
      </w:pPr>
      <w:r>
        <w:rPr>
          <w:rFonts w:ascii="Calibri" w:hAnsi="Calibri"/>
          <w:b/>
          <w:i w:val="0"/>
          <w:color w:val="4C7774"/>
          <w:sz w:val="21"/>
        </w:rPr>
        <w:t>From: Theo Grant, hospitality student</w:t>
      </w:r>
    </w:p>
    <w:p>
      <w:pPr>
        <w:keepNext w:val="0"/>
        <w:spacing w:before="0" w:after="80" w:line="276" w:lineRule="auto"/>
      </w:pPr>
      <w:r>
        <w:rPr>
          <w:rFonts w:ascii="Calibri" w:hAnsi="Calibri"/>
          <w:b w:val="0"/>
          <w:i w:val="0"/>
          <w:color w:val="263139"/>
          <w:sz w:val="21"/>
        </w:rPr>
        <w:t>At last, somebody has offered to rescue our lifeless town centre. Food trucks will fill Seabreeze Square with colour, flavour and laughter. Only the usual whining few could oppose an idea this brilliant.</w:t>
      </w:r>
    </w:p>
    <w:p>
      <w:pPr>
        <w:keepNext w:val="0"/>
        <w:spacing w:before="0" w:after="80" w:line="276" w:lineRule="auto"/>
      </w:pPr>
      <w:r>
        <w:rPr>
          <w:rFonts w:ascii="Calibri" w:hAnsi="Calibri"/>
          <w:b w:val="0"/>
          <w:i w:val="0"/>
          <w:color w:val="263139"/>
          <w:sz w:val="21"/>
        </w:rPr>
        <w:t>Everyone knows the square is completely empty on Friday nights. The trial will bring families together, save struggling businesses and give young people a reason to stay in town. Critics complain about parking because they fear any change they did not invent themselves.</w:t>
      </w:r>
    </w:p>
    <w:p>
      <w:pPr>
        <w:keepNext w:val="0"/>
        <w:spacing w:before="0" w:after="80" w:line="276" w:lineRule="auto"/>
      </w:pPr>
      <w:r>
        <w:rPr>
          <w:rFonts w:ascii="Calibri" w:hAnsi="Calibri"/>
          <w:b w:val="0"/>
          <w:i w:val="0"/>
          <w:color w:val="263139"/>
          <w:sz w:val="21"/>
        </w:rPr>
        <w:t>There are only two choices: support the trucks or accept a dead town centre. Council should ignore the selfish complainers and approve the full trial immediately.</w:t>
      </w:r>
    </w:p>
    <w:p>
      <w:pPr>
        <w:keepNext w:val="0"/>
        <w:spacing w:before="90" w:after="90" w:line="276" w:lineRule="auto"/>
        <w:shd w:fill="EEF1F3"/>
        <w:pBdr>
          <w:left w:val="single" w:sz="22" w:space="8" w:color="334C5C"/>
        </w:pBdr>
      </w:pPr>
      <w:r>
        <w:rPr>
          <w:rFonts w:ascii="Calibri" w:hAnsi="Calibri"/>
          <w:b/>
          <w:color w:val="334C5C"/>
          <w:sz w:val="21"/>
        </w:rPr>
        <w:t xml:space="preserve">Reader task: </w:t>
      </w:r>
      <w:r>
        <w:rPr>
          <w:rFonts w:ascii="Calibri" w:hAnsi="Calibri"/>
          <w:color w:val="263139"/>
          <w:sz w:val="21"/>
        </w:rPr>
        <w:t>Underline loaded or evaluative words; circle sweeping or certainty words; box a claim that goes beyond the editor's briefing; note one relevant omission.</w:t>
      </w:r>
    </w:p>
    <w:p>
      <w:pPr>
        <w:keepNext w:val="0"/>
        <w:spacing w:before="90" w:after="90" w:line="276" w:lineRule="auto"/>
        <w:shd w:fill="FFF2D6"/>
        <w:pBdr>
          <w:left w:val="single" w:sz="22" w:space="8" w:color="A9564D"/>
        </w:pBdr>
      </w:pPr>
      <w:r>
        <w:rPr>
          <w:rFonts w:ascii="Calibri" w:hAnsi="Calibri"/>
          <w:b/>
          <w:color w:val="A9564D"/>
          <w:sz w:val="21"/>
        </w:rPr>
        <w:t xml:space="preserve">Pair comparison: </w:t>
      </w:r>
      <w:r>
        <w:rPr>
          <w:rFonts w:ascii="Calibri" w:hAnsi="Calibri"/>
          <w:color w:val="263139"/>
          <w:sz w:val="21"/>
        </w:rPr>
        <w:t>How do A and B use similar bias fingerprints to pull in opposite directions?</w:t>
      </w:r>
    </w:p>
    <w:p>
      <w:r>
        <w:br w:type="page"/>
      </w:r>
    </w:p>
    <w:p>
      <w:pPr>
        <w:pStyle w:val="Heading1"/>
        <w:keepNext/>
        <w:spacing w:before="180" w:after="100" w:line="240" w:lineRule="auto"/>
      </w:pPr>
      <w:r>
        <w:rPr>
          <w:rFonts w:ascii="Calibri" w:hAnsi="Calibri"/>
          <w:b/>
          <w:color w:val="334C5C"/>
          <w:sz w:val="30"/>
        </w:rPr>
        <w:t>Letter C - Parking First, Please</w:t>
      </w:r>
    </w:p>
    <w:p>
      <w:pPr>
        <w:keepNext w:val="0"/>
        <w:spacing w:before="0" w:after="80" w:line="276" w:lineRule="auto"/>
      </w:pPr>
      <w:r>
        <w:rPr>
          <w:rFonts w:ascii="Calibri" w:hAnsi="Calibri"/>
          <w:b/>
          <w:i w:val="0"/>
          <w:color w:val="4C7774"/>
          <w:sz w:val="21"/>
        </w:rPr>
        <w:t>From: Ravi Singh, nearby resident</w:t>
      </w:r>
    </w:p>
    <w:p>
      <w:pPr>
        <w:keepNext w:val="0"/>
        <w:spacing w:before="0" w:after="80" w:line="276" w:lineRule="auto"/>
      </w:pPr>
      <w:r>
        <w:rPr>
          <w:rFonts w:ascii="Calibri" w:hAnsi="Calibri"/>
          <w:b w:val="0"/>
          <w:i w:val="0"/>
          <w:color w:val="263139"/>
          <w:sz w:val="21"/>
        </w:rPr>
        <w:t>The proposed food-truck trial should not proceed at Seabreeze Square until council solves the parking problem. On each trial evening, twelve spaces beside the square would be unavailable for ordinary vehicles. Those spaces are used by residents and customers of nearby shops.</w:t>
      </w:r>
    </w:p>
    <w:p>
      <w:pPr>
        <w:keepNext w:val="0"/>
        <w:spacing w:before="0" w:after="80" w:line="276" w:lineRule="auto"/>
      </w:pPr>
      <w:r>
        <w:rPr>
          <w:rFonts w:ascii="Calibri" w:hAnsi="Calibri"/>
          <w:b w:val="0"/>
          <w:i w:val="0"/>
          <w:color w:val="263139"/>
          <w:sz w:val="21"/>
        </w:rPr>
        <w:t>Removing them will push cars into surrounding streets and make access difficult. The result will be inconvenience for residents and fewer customers for existing businesses. Council should choose another location before approving the trial.</w:t>
      </w:r>
    </w:p>
    <w:p>
      <w:pPr>
        <w:keepNext w:val="0"/>
        <w:spacing w:before="0" w:after="80" w:line="276" w:lineRule="auto"/>
      </w:pPr>
      <w:r>
        <w:rPr>
          <w:rFonts w:ascii="Calibri" w:hAnsi="Calibri"/>
          <w:b w:val="0"/>
          <w:i w:val="0"/>
          <w:color w:val="263139"/>
          <w:sz w:val="21"/>
        </w:rPr>
        <w:t>A lively evening program may be worthwhile, but parking must come first.</w:t>
      </w:r>
    </w:p>
    <w:p>
      <w:pPr>
        <w:keepNext w:val="0"/>
        <w:spacing w:before="90" w:after="90" w:line="276" w:lineRule="auto"/>
        <w:shd w:fill="EEF1F3"/>
        <w:pBdr>
          <w:left w:val="single" w:sz="22" w:space="8" w:color="334C5C"/>
        </w:pBdr>
      </w:pPr>
      <w:r>
        <w:rPr>
          <w:rFonts w:ascii="Calibri" w:hAnsi="Calibri"/>
          <w:b/>
          <w:color w:val="334C5C"/>
          <w:sz w:val="21"/>
        </w:rPr>
        <w:t xml:space="preserve">Reader task: </w:t>
      </w:r>
      <w:r>
        <w:rPr>
          <w:rFonts w:ascii="Calibri" w:hAnsi="Calibri"/>
          <w:color w:val="263139"/>
          <w:sz w:val="21"/>
        </w:rPr>
        <w:t>Underline loaded or evaluative words; circle sweeping or certainty words; box a claim that goes beyond the editor's briefing; note one relevant omission.</w:t>
      </w:r>
    </w:p>
    <w:p>
      <w:r>
        <w:br w:type="page"/>
      </w:r>
    </w:p>
    <w:p>
      <w:pPr>
        <w:pStyle w:val="Heading1"/>
        <w:keepNext/>
        <w:spacing w:before="180" w:after="100" w:line="240" w:lineRule="auto"/>
      </w:pPr>
      <w:r>
        <w:rPr>
          <w:rFonts w:ascii="Calibri" w:hAnsi="Calibri"/>
          <w:b/>
          <w:color w:val="334C5C"/>
          <w:sz w:val="30"/>
        </w:rPr>
        <w:t>Letter D - A Chance for Young People</w:t>
      </w:r>
    </w:p>
    <w:p>
      <w:pPr>
        <w:keepNext w:val="0"/>
        <w:spacing w:before="0" w:after="80" w:line="276" w:lineRule="auto"/>
      </w:pPr>
      <w:r>
        <w:rPr>
          <w:rFonts w:ascii="Calibri" w:hAnsi="Calibri"/>
          <w:b/>
          <w:i w:val="0"/>
          <w:color w:val="4C7774"/>
          <w:sz w:val="21"/>
        </w:rPr>
        <w:t>From: Lena Cho, youth committee member</w:t>
      </w:r>
    </w:p>
    <w:p>
      <w:pPr>
        <w:keepNext w:val="0"/>
        <w:spacing w:before="0" w:after="80" w:line="276" w:lineRule="auto"/>
      </w:pPr>
      <w:r>
        <w:rPr>
          <w:rFonts w:ascii="Calibri" w:hAnsi="Calibri"/>
          <w:b w:val="0"/>
          <w:i w:val="0"/>
          <w:color w:val="263139"/>
          <w:sz w:val="21"/>
        </w:rPr>
        <w:t>Seabreeze needs more places where young people and families can spend time together. A Friday food-truck trial would give the square a welcoming purpose after many shops close for the day. At our youth committee meeting, several students said they would attend with friends or family.</w:t>
      </w:r>
    </w:p>
    <w:p>
      <w:pPr>
        <w:keepNext w:val="0"/>
        <w:spacing w:before="0" w:after="80" w:line="276" w:lineRule="auto"/>
      </w:pPr>
      <w:r>
        <w:rPr>
          <w:rFonts w:ascii="Calibri" w:hAnsi="Calibri"/>
          <w:b w:val="0"/>
          <w:i w:val="0"/>
          <w:color w:val="263139"/>
          <w:sz w:val="21"/>
        </w:rPr>
        <w:t>The proposal offers different foods and a reason to meet in a public place. Events like this create connection, support new vendors and help young people feel that the town includes them. Many families will enjoy an affordable evening close to home.</w:t>
      </w:r>
    </w:p>
    <w:p>
      <w:pPr>
        <w:keepNext w:val="0"/>
        <w:spacing w:before="0" w:after="80" w:line="276" w:lineRule="auto"/>
      </w:pPr>
      <w:r>
        <w:rPr>
          <w:rFonts w:ascii="Calibri" w:hAnsi="Calibri"/>
          <w:b w:val="0"/>
          <w:i w:val="0"/>
          <w:color w:val="263139"/>
          <w:sz w:val="21"/>
        </w:rPr>
        <w:t>Council should approve the trial and show that young residents' ideas matter.</w:t>
      </w:r>
    </w:p>
    <w:p>
      <w:pPr>
        <w:keepNext w:val="0"/>
        <w:spacing w:before="90" w:after="90" w:line="276" w:lineRule="auto"/>
        <w:shd w:fill="EEF1F3"/>
        <w:pBdr>
          <w:left w:val="single" w:sz="22" w:space="8" w:color="334C5C"/>
        </w:pBdr>
      </w:pPr>
      <w:r>
        <w:rPr>
          <w:rFonts w:ascii="Calibri" w:hAnsi="Calibri"/>
          <w:b/>
          <w:color w:val="334C5C"/>
          <w:sz w:val="21"/>
        </w:rPr>
        <w:t xml:space="preserve">Reader task: </w:t>
      </w:r>
      <w:r>
        <w:rPr>
          <w:rFonts w:ascii="Calibri" w:hAnsi="Calibri"/>
          <w:color w:val="263139"/>
          <w:sz w:val="21"/>
        </w:rPr>
        <w:t>Underline loaded or evaluative words; circle sweeping or certainty words; box a claim that goes beyond the editor's briefing; note one relevant omission.</w:t>
      </w:r>
    </w:p>
    <w:p>
      <w:pPr>
        <w:keepNext w:val="0"/>
        <w:spacing w:before="90" w:after="90" w:line="276" w:lineRule="auto"/>
        <w:shd w:fill="FFF2D6"/>
        <w:pBdr>
          <w:left w:val="single" w:sz="22" w:space="8" w:color="A9564D"/>
        </w:pBdr>
      </w:pPr>
      <w:r>
        <w:rPr>
          <w:rFonts w:ascii="Calibri" w:hAnsi="Calibri"/>
          <w:b/>
          <w:color w:val="A9564D"/>
          <w:sz w:val="21"/>
        </w:rPr>
        <w:t xml:space="preserve">Pair comparison: </w:t>
      </w:r>
      <w:r>
        <w:rPr>
          <w:rFonts w:ascii="Calibri" w:hAnsi="Calibri"/>
          <w:color w:val="263139"/>
          <w:sz w:val="21"/>
        </w:rPr>
        <w:t>How do C and D sound calmer while still selecting one side?</w:t>
      </w:r>
    </w:p>
    <w:p>
      <w:r>
        <w:br w:type="page"/>
      </w:r>
    </w:p>
    <w:p>
      <w:pPr>
        <w:pStyle w:val="Heading1"/>
        <w:keepNext/>
        <w:spacing w:before="180" w:after="100" w:line="240" w:lineRule="auto"/>
      </w:pPr>
      <w:r>
        <w:rPr>
          <w:rFonts w:ascii="Calibri" w:hAnsi="Calibri"/>
          <w:b/>
          <w:color w:val="334C5C"/>
          <w:sz w:val="30"/>
        </w:rPr>
        <w:t>Letter E - Trial It, Measure It, Adjust It</w:t>
      </w:r>
    </w:p>
    <w:p>
      <w:pPr>
        <w:keepNext w:val="0"/>
        <w:spacing w:before="0" w:after="80" w:line="276" w:lineRule="auto"/>
      </w:pPr>
      <w:r>
        <w:rPr>
          <w:rFonts w:ascii="Calibri" w:hAnsi="Calibri"/>
          <w:b/>
          <w:i w:val="0"/>
          <w:color w:val="4C7774"/>
          <w:sz w:val="21"/>
        </w:rPr>
        <w:t>From: Mara Ellis, community volunteer</w:t>
      </w:r>
    </w:p>
    <w:p>
      <w:pPr>
        <w:keepNext w:val="0"/>
        <w:spacing w:before="0" w:after="80" w:line="276" w:lineRule="auto"/>
      </w:pPr>
      <w:r>
        <w:rPr>
          <w:rFonts w:ascii="Calibri" w:hAnsi="Calibri"/>
          <w:b w:val="0"/>
          <w:i w:val="0"/>
          <w:color w:val="263139"/>
          <w:sz w:val="21"/>
        </w:rPr>
        <w:t>The food-truck proposal could bring new activity to Seabreeze Square, but nearby residents are reasonable to ask about noise, parking and waste. The draft is a six-Friday trial from 5:00 pm to 8:00 pm, not a permanent program, and it caps attendance at eight vendors.</w:t>
      </w:r>
    </w:p>
    <w:p>
      <w:pPr>
        <w:keepNext w:val="0"/>
        <w:spacing w:before="0" w:after="80" w:line="276" w:lineRule="auto"/>
      </w:pPr>
      <w:r>
        <w:rPr>
          <w:rFonts w:ascii="Calibri" w:hAnsi="Calibri"/>
          <w:b w:val="0"/>
          <w:i w:val="0"/>
          <w:color w:val="263139"/>
          <w:sz w:val="21"/>
        </w:rPr>
        <w:t>Council should proceed only with the stated accessible path and waste stations in place. During the trial it should record complaints, litter, attendance, parking pressure and feedback from nearby businesses. These measures will not tell us whether every person likes the event, but they will provide better local evidence than confident predictions from either side.</w:t>
      </w:r>
    </w:p>
    <w:p>
      <w:pPr>
        <w:keepNext w:val="0"/>
        <w:spacing w:before="0" w:after="80" w:line="276" w:lineRule="auto"/>
      </w:pPr>
      <w:r>
        <w:rPr>
          <w:rFonts w:ascii="Calibri" w:hAnsi="Calibri"/>
          <w:b w:val="0"/>
          <w:i w:val="0"/>
          <w:color w:val="263139"/>
          <w:sz w:val="21"/>
        </w:rPr>
        <w:t>I support the trial because it is limited and reviewable. If the evidence shows unacceptable problems, council should change the hours, reduce vendor numbers or choose another location.</w:t>
      </w:r>
    </w:p>
    <w:p>
      <w:pPr>
        <w:keepNext w:val="0"/>
        <w:spacing w:before="90" w:after="90" w:line="276" w:lineRule="auto"/>
        <w:shd w:fill="EEF1F3"/>
        <w:pBdr>
          <w:left w:val="single" w:sz="22" w:space="8" w:color="334C5C"/>
        </w:pBdr>
      </w:pPr>
      <w:r>
        <w:rPr>
          <w:rFonts w:ascii="Calibri" w:hAnsi="Calibri"/>
          <w:b/>
          <w:color w:val="334C5C"/>
          <w:sz w:val="21"/>
        </w:rPr>
        <w:t xml:space="preserve">Reader task: </w:t>
      </w:r>
      <w:r>
        <w:rPr>
          <w:rFonts w:ascii="Calibri" w:hAnsi="Calibri"/>
          <w:color w:val="263139"/>
          <w:sz w:val="21"/>
        </w:rPr>
        <w:t>Underline loaded or evaluative words; circle sweeping or certainty words; box a claim that goes beyond the editor's briefing; note one relevant omission.</w:t>
      </w:r>
    </w:p>
    <w:p>
      <w:r>
        <w:br w:type="page"/>
      </w:r>
    </w:p>
    <w:p>
      <w:pPr>
        <w:pStyle w:val="Heading1"/>
        <w:keepNext/>
        <w:spacing w:before="180" w:after="100" w:line="240" w:lineRule="auto"/>
      </w:pPr>
      <w:r>
        <w:rPr>
          <w:rFonts w:ascii="Calibri" w:hAnsi="Calibri"/>
          <w:b/>
          <w:color w:val="334C5C"/>
          <w:sz w:val="30"/>
        </w:rPr>
        <w:t>Letter F - Protect the Square While Testing the Idea</w:t>
      </w:r>
    </w:p>
    <w:p>
      <w:pPr>
        <w:keepNext w:val="0"/>
        <w:spacing w:before="0" w:after="80" w:line="276" w:lineRule="auto"/>
      </w:pPr>
      <w:r>
        <w:rPr>
          <w:rFonts w:ascii="Calibri" w:hAnsi="Calibri"/>
          <w:b/>
          <w:i w:val="0"/>
          <w:color w:val="4C7774"/>
          <w:sz w:val="21"/>
        </w:rPr>
        <w:t>From: Owen Park, access advocate</w:t>
      </w:r>
    </w:p>
    <w:p>
      <w:pPr>
        <w:keepNext w:val="0"/>
        <w:spacing w:before="0" w:after="80" w:line="276" w:lineRule="auto"/>
      </w:pPr>
      <w:r>
        <w:rPr>
          <w:rFonts w:ascii="Calibri" w:hAnsi="Calibri"/>
          <w:b w:val="0"/>
          <w:i w:val="0"/>
          <w:color w:val="263139"/>
          <w:sz w:val="21"/>
        </w:rPr>
        <w:t>Supporters are right that a shared evening event may help people gather, while residents are right that a public square must remain accessible and manageable. The current proposal includes an accessible path and a later review, but it does not yet explain how the path will be monitored when queues form.</w:t>
      </w:r>
    </w:p>
    <w:p>
      <w:pPr>
        <w:keepNext w:val="0"/>
        <w:spacing w:before="0" w:after="80" w:line="276" w:lineRule="auto"/>
      </w:pPr>
      <w:r>
        <w:rPr>
          <w:rFonts w:ascii="Calibri" w:hAnsi="Calibri"/>
          <w:b w:val="0"/>
          <w:i w:val="0"/>
          <w:color w:val="263139"/>
          <w:sz w:val="21"/>
        </w:rPr>
        <w:t>Council should begin with four trucks on the first two Fridays, mark the accessible route clearly and station a marshal at the busiest crossing. It should then publish what it observed before increasing the number of vendors. This smaller start would not remove every risk, but it would test the idea without pretending that support or concern is unreasonable.</w:t>
      </w:r>
    </w:p>
    <w:p>
      <w:pPr>
        <w:keepNext w:val="0"/>
        <w:spacing w:before="0" w:after="80" w:line="276" w:lineRule="auto"/>
      </w:pPr>
      <w:r>
        <w:rPr>
          <w:rFonts w:ascii="Calibri" w:hAnsi="Calibri"/>
          <w:b w:val="0"/>
          <w:i w:val="0"/>
          <w:color w:val="263139"/>
          <w:sz w:val="21"/>
        </w:rPr>
        <w:t>A careful trial can welcome new activity and protect ordinary use of the square.</w:t>
      </w:r>
    </w:p>
    <w:p>
      <w:pPr>
        <w:keepNext w:val="0"/>
        <w:spacing w:before="90" w:after="90" w:line="276" w:lineRule="auto"/>
        <w:shd w:fill="EEF1F3"/>
        <w:pBdr>
          <w:left w:val="single" w:sz="22" w:space="8" w:color="334C5C"/>
        </w:pBdr>
      </w:pPr>
      <w:r>
        <w:rPr>
          <w:rFonts w:ascii="Calibri" w:hAnsi="Calibri"/>
          <w:b/>
          <w:color w:val="334C5C"/>
          <w:sz w:val="21"/>
        </w:rPr>
        <w:t xml:space="preserve">Reader task: </w:t>
      </w:r>
      <w:r>
        <w:rPr>
          <w:rFonts w:ascii="Calibri" w:hAnsi="Calibri"/>
          <w:color w:val="263139"/>
          <w:sz w:val="21"/>
        </w:rPr>
        <w:t>Underline loaded or evaluative words; circle sweeping or certainty words; box a claim that goes beyond the editor's briefing; note one relevant omission.</w:t>
      </w:r>
    </w:p>
    <w:p>
      <w:pPr>
        <w:keepNext w:val="0"/>
        <w:spacing w:before="90" w:after="90" w:line="276" w:lineRule="auto"/>
        <w:shd w:fill="FFF2D6"/>
        <w:pBdr>
          <w:left w:val="single" w:sz="22" w:space="8" w:color="A9564D"/>
        </w:pBdr>
      </w:pPr>
      <w:r>
        <w:rPr>
          <w:rFonts w:ascii="Calibri" w:hAnsi="Calibri"/>
          <w:b/>
          <w:color w:val="A9564D"/>
          <w:sz w:val="21"/>
        </w:rPr>
        <w:t xml:space="preserve">Pair comparison: </w:t>
      </w:r>
      <w:r>
        <w:rPr>
          <w:rFonts w:ascii="Calibri" w:hAnsi="Calibri"/>
          <w:color w:val="263139"/>
          <w:sz w:val="21"/>
        </w:rPr>
        <w:t>How do E and F stay balanced while making clear recommendations?</w:t>
      </w:r>
    </w:p>
    <w:p>
      <w:r>
        <w:br w:type="page"/>
      </w:r>
    </w:p>
    <w:p>
      <w:pPr>
        <w:pStyle w:val="Heading1"/>
        <w:keepNext/>
        <w:spacing w:before="180" w:after="100" w:line="240" w:lineRule="auto"/>
      </w:pPr>
      <w:r>
        <w:rPr>
          <w:rFonts w:ascii="Calibri" w:hAnsi="Calibri"/>
          <w:b/>
          <w:color w:val="334C5C"/>
          <w:sz w:val="30"/>
        </w:rPr>
        <w:t>Balanced-language field guide</w:t>
      </w:r>
    </w:p>
    <w:tbl>
      <w:tblPr>
        <w:tblStyle w:val="TableGrid"/>
        <w:tblW w:type="dxa" w:w="10178"/>
        <w:jc w:val="left"/>
        <w:tblLayout w:type="fixed"/>
        <w:tblLook w:firstColumn="1" w:firstRow="1" w:lastColumn="0" w:lastRow="0" w:noHBand="0" w:noVBand="1" w:val="04A0"/>
        <w:tblInd w:w="120" w:type="dxa"/>
      </w:tblPr>
      <w:tblGrid>
        <w:gridCol w:w="2100"/>
        <w:gridCol w:w="3500"/>
        <w:gridCol w:w="4578"/>
      </w:tblGrid>
      <w:tr>
        <w:trPr>
          <w:cantSplit/>
          <w:tblHeader w:val="true"/>
        </w:trPr>
        <w:tc>
          <w:tcPr>
            <w:tcW w:type="dxa" w:w="2100"/>
            <w:vAlign w:val="center"/>
            <w:tcMar>
              <w:top w:w="90" w:type="dxa"/>
              <w:start w:w="120" w:type="dxa"/>
              <w:bottom w:w="90" w:type="dxa"/>
              <w:end w:w="120" w:type="dxa"/>
            </w:tcMar>
            <w:shd w:fill="334C5C"/>
          </w:tcPr>
          <w:p>
            <w:pPr>
              <w:keepNext w:val="0"/>
              <w:spacing w:before="0" w:after="0" w:line="259" w:lineRule="auto"/>
              <w:jc w:val="center"/>
            </w:pPr>
            <w:r/>
            <w:r>
              <w:rPr>
                <w:rFonts w:ascii="Calibri" w:hAnsi="Calibri"/>
                <w:b/>
                <w:color w:val="FFFFFF"/>
                <w:sz w:val="18"/>
              </w:rPr>
              <w:t>Move</w:t>
            </w:r>
          </w:p>
        </w:tc>
        <w:tc>
          <w:tcPr>
            <w:tcW w:type="dxa" w:w="3500"/>
            <w:vAlign w:val="center"/>
            <w:tcMar>
              <w:top w:w="90" w:type="dxa"/>
              <w:start w:w="120" w:type="dxa"/>
              <w:bottom w:w="90" w:type="dxa"/>
              <w:end w:w="120" w:type="dxa"/>
            </w:tcMar>
            <w:shd w:fill="334C5C"/>
          </w:tcPr>
          <w:p>
            <w:pPr>
              <w:keepNext w:val="0"/>
              <w:spacing w:before="0" w:after="0" w:line="259" w:lineRule="auto"/>
              <w:jc w:val="center"/>
            </w:pPr>
            <w:r/>
            <w:r>
              <w:rPr>
                <w:rFonts w:ascii="Calibri" w:hAnsi="Calibri"/>
                <w:b/>
                <w:color w:val="FFFFFF"/>
                <w:sz w:val="18"/>
              </w:rPr>
              <w:t>Useful language</w:t>
            </w:r>
          </w:p>
        </w:tc>
        <w:tc>
          <w:tcPr>
            <w:tcW w:type="dxa" w:w="4578"/>
            <w:vAlign w:val="center"/>
            <w:tcMar>
              <w:top w:w="90" w:type="dxa"/>
              <w:start w:w="120" w:type="dxa"/>
              <w:bottom w:w="90" w:type="dxa"/>
              <w:end w:w="120" w:type="dxa"/>
            </w:tcMar>
            <w:shd w:fill="334C5C"/>
          </w:tcPr>
          <w:p>
            <w:pPr>
              <w:keepNext w:val="0"/>
              <w:spacing w:before="0" w:after="0" w:line="259" w:lineRule="auto"/>
              <w:jc w:val="center"/>
            </w:pPr>
            <w:r/>
            <w:r>
              <w:rPr>
                <w:rFonts w:ascii="Calibri" w:hAnsi="Calibri"/>
                <w:b/>
                <w:color w:val="FFFFFF"/>
                <w:sz w:val="18"/>
              </w:rPr>
              <w:t>Trust check</w:t>
            </w:r>
          </w:p>
        </w:tc>
      </w:tr>
      <w:tr>
        <w:tc>
          <w:tcPr>
            <w:tcW w:type="dxa" w:w="2100"/>
          </w:tcPr>
          <w:p>
            <w:pPr>
              <w:keepNext w:val="0"/>
              <w:spacing w:before="0" w:after="0" w:line="259" w:lineRule="auto"/>
            </w:pPr>
            <w:r/>
            <w:r>
              <w:rPr>
                <w:rFonts w:ascii="Calibri" w:hAnsi="Calibri"/>
                <w:b w:val="0"/>
                <w:color w:val="263139"/>
                <w:sz w:val="18"/>
              </w:rPr>
              <w:t>Attribute</w:t>
            </w:r>
          </w:p>
        </w:tc>
        <w:tc>
          <w:tcPr>
            <w:tcW w:type="dxa" w:w="3500"/>
          </w:tcPr>
          <w:p>
            <w:pPr>
              <w:keepNext w:val="0"/>
              <w:spacing w:before="0" w:after="0" w:line="259" w:lineRule="auto"/>
            </w:pPr>
            <w:r/>
            <w:r>
              <w:rPr>
                <w:rFonts w:ascii="Calibri" w:hAnsi="Calibri"/>
                <w:b w:val="0"/>
                <w:color w:val="263139"/>
                <w:sz w:val="18"/>
              </w:rPr>
              <w:t>The writer argues / claims / predicts...</w:t>
            </w:r>
          </w:p>
        </w:tc>
        <w:tc>
          <w:tcPr>
            <w:tcW w:type="dxa" w:w="4578"/>
          </w:tcPr>
          <w:p>
            <w:pPr>
              <w:keepNext w:val="0"/>
              <w:spacing w:before="0" w:after="0" w:line="259" w:lineRule="auto"/>
            </w:pPr>
            <w:r/>
            <w:r>
              <w:rPr>
                <w:rFonts w:ascii="Calibri" w:hAnsi="Calibri"/>
                <w:b w:val="0"/>
                <w:color w:val="263139"/>
                <w:sz w:val="18"/>
              </w:rPr>
              <w:t>Is a viewpoint clearly reported as a viewpoint?</w:t>
            </w:r>
          </w:p>
        </w:tc>
      </w:tr>
      <w:tr>
        <w:tc>
          <w:tcPr>
            <w:tcW w:type="dxa" w:w="2100"/>
            <w:shd w:fill="F7FAFB"/>
          </w:tcPr>
          <w:p>
            <w:pPr>
              <w:keepNext w:val="0"/>
              <w:spacing w:before="0" w:after="0" w:line="259" w:lineRule="auto"/>
            </w:pPr>
            <w:r/>
            <w:r>
              <w:rPr>
                <w:rFonts w:ascii="Calibri" w:hAnsi="Calibri"/>
                <w:b w:val="0"/>
                <w:color w:val="263139"/>
                <w:sz w:val="18"/>
              </w:rPr>
              <w:t>Concede</w:t>
            </w:r>
          </w:p>
        </w:tc>
        <w:tc>
          <w:tcPr>
            <w:tcW w:type="dxa" w:w="3500"/>
            <w:shd w:fill="F7FAFB"/>
          </w:tcPr>
          <w:p>
            <w:pPr>
              <w:keepNext w:val="0"/>
              <w:spacing w:before="0" w:after="0" w:line="259" w:lineRule="auto"/>
            </w:pPr>
            <w:r/>
            <w:r>
              <w:rPr>
                <w:rFonts w:ascii="Calibri" w:hAnsi="Calibri"/>
                <w:b w:val="0"/>
                <w:color w:val="263139"/>
                <w:sz w:val="18"/>
              </w:rPr>
              <w:t>Residents may reasonably be concerned...</w:t>
            </w:r>
          </w:p>
        </w:tc>
        <w:tc>
          <w:tcPr>
            <w:tcW w:type="dxa" w:w="4578"/>
            <w:shd w:fill="F7FAFB"/>
          </w:tcPr>
          <w:p>
            <w:pPr>
              <w:keepNext w:val="0"/>
              <w:spacing w:before="0" w:after="0" w:line="259" w:lineRule="auto"/>
            </w:pPr>
            <w:r/>
            <w:r>
              <w:rPr>
                <w:rFonts w:ascii="Calibri" w:hAnsi="Calibri"/>
                <w:b w:val="0"/>
                <w:color w:val="263139"/>
                <w:sz w:val="18"/>
              </w:rPr>
              <w:t>Is the other concern represented accurately?</w:t>
            </w:r>
          </w:p>
        </w:tc>
      </w:tr>
      <w:tr>
        <w:tc>
          <w:tcPr>
            <w:tcW w:type="dxa" w:w="2100"/>
          </w:tcPr>
          <w:p>
            <w:pPr>
              <w:keepNext w:val="0"/>
              <w:spacing w:before="0" w:after="0" w:line="259" w:lineRule="auto"/>
            </w:pPr>
            <w:r/>
            <w:r>
              <w:rPr>
                <w:rFonts w:ascii="Calibri" w:hAnsi="Calibri"/>
                <w:b w:val="0"/>
                <w:color w:val="263139"/>
                <w:sz w:val="18"/>
              </w:rPr>
              <w:t>Qualify</w:t>
            </w:r>
          </w:p>
        </w:tc>
        <w:tc>
          <w:tcPr>
            <w:tcW w:type="dxa" w:w="3500"/>
          </w:tcPr>
          <w:p>
            <w:pPr>
              <w:keepNext w:val="0"/>
              <w:spacing w:before="0" w:after="0" w:line="259" w:lineRule="auto"/>
            </w:pPr>
            <w:r/>
            <w:r>
              <w:rPr>
                <w:rFonts w:ascii="Calibri" w:hAnsi="Calibri"/>
                <w:b w:val="0"/>
                <w:color w:val="263139"/>
                <w:sz w:val="18"/>
              </w:rPr>
              <w:t>may, could, if, during the trial</w:t>
            </w:r>
          </w:p>
        </w:tc>
        <w:tc>
          <w:tcPr>
            <w:tcW w:type="dxa" w:w="4578"/>
          </w:tcPr>
          <w:p>
            <w:pPr>
              <w:keepNext w:val="0"/>
              <w:spacing w:before="0" w:after="0" w:line="259" w:lineRule="auto"/>
            </w:pPr>
            <w:r/>
            <w:r>
              <w:rPr>
                <w:rFonts w:ascii="Calibri" w:hAnsi="Calibri"/>
                <w:b w:val="0"/>
                <w:color w:val="263139"/>
                <w:sz w:val="18"/>
              </w:rPr>
              <w:t>Does certainty match available evidence?</w:t>
            </w:r>
          </w:p>
        </w:tc>
      </w:tr>
      <w:tr>
        <w:tc>
          <w:tcPr>
            <w:tcW w:type="dxa" w:w="2100"/>
            <w:shd w:fill="F7FAFB"/>
          </w:tcPr>
          <w:p>
            <w:pPr>
              <w:keepNext w:val="0"/>
              <w:spacing w:before="0" w:after="0" w:line="259" w:lineRule="auto"/>
            </w:pPr>
            <w:r/>
            <w:r>
              <w:rPr>
                <w:rFonts w:ascii="Calibri" w:hAnsi="Calibri"/>
                <w:b w:val="0"/>
                <w:color w:val="263139"/>
                <w:sz w:val="18"/>
              </w:rPr>
              <w:t>State a boundary</w:t>
            </w:r>
          </w:p>
        </w:tc>
        <w:tc>
          <w:tcPr>
            <w:tcW w:type="dxa" w:w="3500"/>
            <w:shd w:fill="F7FAFB"/>
          </w:tcPr>
          <w:p>
            <w:pPr>
              <w:keepNext w:val="0"/>
              <w:spacing w:before="0" w:after="0" w:line="259" w:lineRule="auto"/>
            </w:pPr>
            <w:r/>
            <w:r>
              <w:rPr>
                <w:rFonts w:ascii="Calibri" w:hAnsi="Calibri"/>
                <w:b w:val="0"/>
                <w:color w:val="263139"/>
                <w:sz w:val="18"/>
              </w:rPr>
              <w:t>The proposal does not yet show...</w:t>
            </w:r>
          </w:p>
        </w:tc>
        <w:tc>
          <w:tcPr>
            <w:tcW w:type="dxa" w:w="4578"/>
            <w:shd w:fill="F7FAFB"/>
          </w:tcPr>
          <w:p>
            <w:pPr>
              <w:keepNext w:val="0"/>
              <w:spacing w:before="0" w:after="0" w:line="259" w:lineRule="auto"/>
            </w:pPr>
            <w:r/>
            <w:r>
              <w:rPr>
                <w:rFonts w:ascii="Calibri" w:hAnsi="Calibri"/>
                <w:b w:val="0"/>
                <w:color w:val="263139"/>
                <w:sz w:val="18"/>
              </w:rPr>
              <w:t>Is missing knowledge made visible?</w:t>
            </w:r>
          </w:p>
        </w:tc>
      </w:tr>
      <w:tr>
        <w:tc>
          <w:tcPr>
            <w:tcW w:type="dxa" w:w="2100"/>
          </w:tcPr>
          <w:p>
            <w:pPr>
              <w:keepNext w:val="0"/>
              <w:spacing w:before="0" w:after="0" w:line="259" w:lineRule="auto"/>
            </w:pPr>
            <w:r/>
            <w:r>
              <w:rPr>
                <w:rFonts w:ascii="Calibri" w:hAnsi="Calibri"/>
                <w:b w:val="0"/>
                <w:color w:val="263139"/>
                <w:sz w:val="18"/>
              </w:rPr>
              <w:t>Recommend</w:t>
            </w:r>
          </w:p>
        </w:tc>
        <w:tc>
          <w:tcPr>
            <w:tcW w:type="dxa" w:w="3500"/>
          </w:tcPr>
          <w:p>
            <w:pPr>
              <w:keepNext w:val="0"/>
              <w:spacing w:before="0" w:after="0" w:line="259" w:lineRule="auto"/>
            </w:pPr>
            <w:r/>
            <w:r>
              <w:rPr>
                <w:rFonts w:ascii="Calibri" w:hAnsi="Calibri"/>
                <w:b w:val="0"/>
                <w:color w:val="263139"/>
                <w:sz w:val="18"/>
              </w:rPr>
              <w:t>Council should trial / cap / measure / review...</w:t>
            </w:r>
          </w:p>
        </w:tc>
        <w:tc>
          <w:tcPr>
            <w:tcW w:type="dxa" w:w="4578"/>
          </w:tcPr>
          <w:p>
            <w:pPr>
              <w:keepNext w:val="0"/>
              <w:spacing w:before="0" w:after="0" w:line="259" w:lineRule="auto"/>
            </w:pPr>
            <w:r/>
            <w:r>
              <w:rPr>
                <w:rFonts w:ascii="Calibri" w:hAnsi="Calibri"/>
                <w:b w:val="0"/>
                <w:color w:val="263139"/>
                <w:sz w:val="18"/>
              </w:rPr>
              <w:t>Is the position clear and workable?</w:t>
            </w:r>
          </w:p>
        </w:tc>
      </w:tr>
    </w:tbl>
    <w:p>
      <w:pPr>
        <w:keepNext w:val="0"/>
        <w:spacing w:before="0" w:after="40" w:line="276" w:lineRule="auto"/>
      </w:pPr>
    </w:p>
    <w:p>
      <w:pPr>
        <w:keepNext w:val="0"/>
        <w:spacing w:before="90" w:after="90" w:line="276" w:lineRule="auto"/>
        <w:shd w:fill="FFF2D6"/>
        <w:pBdr>
          <w:left w:val="single" w:sz="22" w:space="8" w:color="A9564D"/>
        </w:pBdr>
      </w:pPr>
      <w:r>
        <w:rPr>
          <w:rFonts w:ascii="Calibri" w:hAnsi="Calibri"/>
          <w:b/>
          <w:color w:val="A9564D"/>
          <w:sz w:val="21"/>
        </w:rPr>
        <w:t xml:space="preserve">Final challenge: </w:t>
      </w:r>
      <w:r>
        <w:rPr>
          <w:rFonts w:ascii="Calibri" w:hAnsi="Calibri"/>
          <w:color w:val="263139"/>
          <w:sz w:val="21"/>
        </w:rPr>
        <w:t>Write an 8-10 sentence Editorial Fairness Briefing. Preserve each writer's real position while removing loaded, sweeping or mind-reading wording.</w:t>
      </w:r>
    </w:p>
    <w:sectPr w:rsidR="00FC693F" w:rsidRPr="0006063C" w:rsidSect="00034616">
      <w:headerReference w:type="default" r:id="rId9"/>
      <w:footerReference w:type="default" r:id="rId10"/>
      <w:pgSz w:w="11906" w:h="16838"/>
      <w:pgMar w:top="864" w:right="864" w:bottom="864"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Calibri" w:hAnsi="Calibri"/>
        <w:color w:val="66737B"/>
        <w:sz w:val="15"/>
      </w:rPr>
      <w:t>Letters Reading Pack  |  Letters from Seabreeze Square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Calibri" w:hAnsi="Calibri"/>
        <w:b/>
        <w:color w:val="66737B"/>
        <w:sz w:val="15"/>
      </w:rPr>
      <w:t>ENGLISH UNIT 3  |  LESSON 22 ALTERNATIVE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6" w:lineRule="auto"/>
    </w:pPr>
    <w:rPr>
      <w:rFonts w:ascii="Calibri" w:hAnsi="Calibri"/>
      <w:color w:val="26313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40" w:lineRule="auto"/>
      <w:outlineLvl w:val="0"/>
    </w:pPr>
    <w:rPr>
      <w:rFonts w:asciiTheme="majorHAnsi" w:eastAsiaTheme="majorEastAsia" w:hAnsiTheme="majorHAnsi" w:cstheme="majorBidi" w:ascii="Calibri" w:hAnsi="Calibri"/>
      <w:b/>
      <w:bCs/>
      <w:color w:val="334C5C"/>
      <w:sz w:val="30"/>
      <w:szCs w:val="28"/>
    </w:rPr>
  </w:style>
  <w:style w:type="paragraph" w:styleId="Heading2">
    <w:name w:val="heading 2"/>
    <w:basedOn w:val="Normal"/>
    <w:next w:val="Normal"/>
    <w:link w:val="Heading2Char"/>
    <w:uiPriority w:val="9"/>
    <w:unhideWhenUsed/>
    <w:qFormat/>
    <w:rsid w:val="00FC693F"/>
    <w:pPr>
      <w:keepNext/>
      <w:keepLines/>
      <w:spacing w:before="140" w:after="80" w:line="240" w:lineRule="auto"/>
      <w:outlineLvl w:val="1"/>
    </w:pPr>
    <w:rPr>
      <w:rFonts w:asciiTheme="majorHAnsi" w:eastAsiaTheme="majorEastAsia" w:hAnsiTheme="majorHAnsi" w:cstheme="majorBidi" w:ascii="Calibri" w:hAnsi="Calibri"/>
      <w:b/>
      <w:bCs/>
      <w:color w:val="4C7774"/>
      <w:sz w:val="25"/>
      <w:szCs w:val="26"/>
    </w:rPr>
  </w:style>
  <w:style w:type="paragraph" w:styleId="Heading3">
    <w:name w:val="heading 3"/>
    <w:basedOn w:val="Normal"/>
    <w:next w:val="Normal"/>
    <w:link w:val="Heading3Char"/>
    <w:uiPriority w:val="9"/>
    <w:unhideWhenUsed/>
    <w:qFormat/>
    <w:rsid w:val="00FC693F"/>
    <w:pPr>
      <w:keepNext/>
      <w:keepLines/>
      <w:spacing w:before="100" w:after="60" w:line="240" w:lineRule="auto"/>
      <w:outlineLvl w:val="2"/>
    </w:pPr>
    <w:rPr>
      <w:rFonts w:asciiTheme="majorHAnsi" w:eastAsiaTheme="majorEastAsia" w:hAnsiTheme="majorHAnsi" w:cstheme="majorBidi" w:ascii="Calibri" w:hAnsi="Calibri"/>
      <w:b/>
      <w:bCs/>
      <w:color w:val="334C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