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Arial" w:hAnsi="Arial"/>
          <w:b/>
          <w:color w:val="0F172A"/>
          <w:sz w:val="44"/>
        </w:rPr>
        <w:t>Mathematics Lesson Plan: Finding Missing Numbers</w:t>
      </w:r>
    </w:p>
    <w:p>
      <w:pPr>
        <w:spacing w:after="360"/>
      </w:pPr>
      <w:r>
        <w:rPr>
          <w:i/>
          <w:color w:val="14B8A6"/>
          <w:sz w:val="26"/>
        </w:rPr>
        <w:t>Mastering Inverse Operations, Balancing Equations, and the Distributive Law</w:t>
      </w:r>
    </w:p>
    <w:tbl>
      <w:tblPr>
        <w:tblW w:type="auto" w:w="0"/>
        <w:jc w:val="center"/>
        <w:tblLayout w:type="fixed"/>
        <w:tblLook w:firstColumn="1" w:firstRow="1" w:lastColumn="0" w:lastRow="0" w:noHBand="0" w:noVBand="1" w:val="04A0"/>
      </w:tblPr>
      <w:tblGrid>
        <w:gridCol w:w="4680"/>
        <w:gridCol w:w="4680"/>
      </w:tblGrid>
      <w:tr>
        <w:tc>
          <w:tcPr>
            <w:tcW w:type="dxa" w:w="3168"/>
            <w:tcW w:w="3168" w:type="dxa"/>
            <w:tcMar>
              <w:top w:w="120" w:type="dxa"/>
              <w:bottom w:w="120" w:type="dxa"/>
              <w:left w:w="150" w:type="dxa"/>
              <w:right w:w="150" w:type="dxa"/>
            </w:tcMar>
            <w:shd w:val="clear" w:color="auto" w:fill="F8FAFC"/>
          </w:tcPr>
          <w:p>
            <w:pPr>
              <w:spacing w:after="0"/>
            </w:pPr>
            <w:r>
              <w:rPr>
                <w:b/>
                <w:color w:val="475569"/>
              </w:rPr>
              <w:t>Target Year Level:</w:t>
            </w:r>
          </w:p>
        </w:tc>
        <w:tc>
          <w:tcPr>
            <w:tcW w:type="dxa" w:w="6192"/>
            <w:tcW w:w="6192" w:type="dxa"/>
            <w:tcMar>
              <w:top w:w="120" w:type="dxa"/>
              <w:bottom w:w="120" w:type="dxa"/>
              <w:left w:w="150" w:type="dxa"/>
              <w:right w:w="150" w:type="dxa"/>
            </w:tcMar>
            <w:shd w:val="clear" w:color="auto" w:fill="F8FAFC"/>
          </w:tcPr>
          <w:p>
            <w:pPr>
              <w:spacing w:after="0"/>
            </w:pPr>
            <w:r>
              <w:t>Year 6 Core (Explicit mapping to Year 5 support &amp; extension)</w:t>
            </w:r>
          </w:p>
        </w:tc>
      </w:tr>
      <w:tr>
        <w:tc>
          <w:tcPr>
            <w:tcW w:type="dxa" w:w="3168"/>
            <w:tcW w:w="3168" w:type="dxa"/>
            <w:tcMar>
              <w:top w:w="120" w:type="dxa"/>
              <w:bottom w:w="120" w:type="dxa"/>
              <w:left w:w="150" w:type="dxa"/>
              <w:right w:w="150" w:type="dxa"/>
            </w:tcMar>
            <w:shd w:val="clear" w:color="auto" w:fill="FFFFFF"/>
          </w:tcPr>
          <w:p>
            <w:pPr>
              <w:spacing w:after="0"/>
            </w:pPr>
            <w:r>
              <w:rPr>
                <w:b/>
                <w:color w:val="475569"/>
              </w:rPr>
              <w:t>Subject Area:</w:t>
            </w:r>
          </w:p>
        </w:tc>
        <w:tc>
          <w:tcPr>
            <w:tcW w:type="dxa" w:w="6192"/>
            <w:tcW w:w="6192" w:type="dxa"/>
            <w:tcMar>
              <w:top w:w="120" w:type="dxa"/>
              <w:bottom w:w="120" w:type="dxa"/>
              <w:left w:w="150" w:type="dxa"/>
              <w:right w:w="150" w:type="dxa"/>
            </w:tcMar>
            <w:shd w:val="clear" w:color="auto" w:fill="FFFFFF"/>
          </w:tcPr>
          <w:p>
            <w:pPr>
              <w:spacing w:after="0"/>
            </w:pPr>
            <w:r>
              <w:t>Mathematics (Number &amp; Algebra)</w:t>
            </w:r>
          </w:p>
        </w:tc>
      </w:tr>
      <w:tr>
        <w:tc>
          <w:tcPr>
            <w:tcW w:type="dxa" w:w="3168"/>
            <w:tcW w:w="3168" w:type="dxa"/>
            <w:tcMar>
              <w:top w:w="120" w:type="dxa"/>
              <w:bottom w:w="120" w:type="dxa"/>
              <w:left w:w="150" w:type="dxa"/>
              <w:right w:w="150" w:type="dxa"/>
            </w:tcMar>
            <w:shd w:val="clear" w:color="auto" w:fill="F8FAFC"/>
          </w:tcPr>
          <w:p>
            <w:pPr>
              <w:spacing w:after="0"/>
            </w:pPr>
            <w:r>
              <w:rPr>
                <w:b/>
                <w:color w:val="475569"/>
              </w:rPr>
              <w:t>Suggested Duration:</w:t>
            </w:r>
          </w:p>
        </w:tc>
        <w:tc>
          <w:tcPr>
            <w:tcW w:type="dxa" w:w="6192"/>
            <w:tcW w:w="6192" w:type="dxa"/>
            <w:tcMar>
              <w:top w:w="120" w:type="dxa"/>
              <w:bottom w:w="120" w:type="dxa"/>
              <w:left w:w="150" w:type="dxa"/>
              <w:right w:w="150" w:type="dxa"/>
            </w:tcMar>
            <w:shd w:val="clear" w:color="auto" w:fill="F8FAFC"/>
          </w:tcPr>
          <w:p>
            <w:pPr>
              <w:spacing w:after="0"/>
            </w:pPr>
            <w:r>
              <w:t>60 Minutes</w:t>
            </w:r>
          </w:p>
        </w:tc>
      </w:tr>
      <w:tr>
        <w:tc>
          <w:tcPr>
            <w:tcW w:type="dxa" w:w="3168"/>
            <w:tcW w:w="3168" w:type="dxa"/>
            <w:tcMar>
              <w:top w:w="120" w:type="dxa"/>
              <w:bottom w:w="120" w:type="dxa"/>
              <w:left w:w="150" w:type="dxa"/>
              <w:right w:w="150" w:type="dxa"/>
            </w:tcMar>
            <w:shd w:val="clear" w:color="auto" w:fill="FFFFFF"/>
          </w:tcPr>
          <w:p>
            <w:pPr>
              <w:spacing w:after="0"/>
            </w:pPr>
            <w:r>
              <w:rPr>
                <w:b/>
                <w:color w:val="475569"/>
              </w:rPr>
              <w:t>Curriculum Alignment (AC v9):</w:t>
            </w:r>
          </w:p>
        </w:tc>
        <w:tc>
          <w:tcPr>
            <w:tcW w:type="dxa" w:w="6192"/>
            <w:tcW w:w="6192" w:type="dxa"/>
            <w:tcMar>
              <w:top w:w="120" w:type="dxa"/>
              <w:bottom w:w="120" w:type="dxa"/>
              <w:left w:w="150" w:type="dxa"/>
              <w:right w:w="150" w:type="dxa"/>
            </w:tcMar>
            <w:shd w:val="clear" w:color="auto" w:fill="FFFFFF"/>
          </w:tcPr>
          <w:p>
            <w:pPr>
              <w:spacing w:after="0"/>
            </w:pPr>
            <w:r>
              <w:t>AC9M5A01, AC9M5A02, AC9M6A02, AC9M6N02</w:t>
            </w:r>
          </w:p>
        </w:tc>
      </w:tr>
    </w:tbl>
    <w:p>
      <w:pPr>
        <w:spacing w:after="240"/>
      </w:pPr>
    </w:p>
    <w:p>
      <w:pPr>
        <w:keepNext/>
        <w:spacing w:before="320" w:after="160"/>
      </w:pPr>
      <w:r>
        <w:rPr>
          <w:rFonts w:ascii="Arial" w:hAnsi="Arial"/>
          <w:b/>
          <w:color w:val="14B8A6"/>
          <w:sz w:val="30"/>
        </w:rPr>
        <w:t>1. Learning Intention</w:t>
      </w:r>
    </w:p>
    <w:p>
      <w:r>
        <w:t>We are learning to find missing numbers in mathematical sentences using inverse operations, order of operations, and the distributive law to build deep algebraic reasoning and ensure the reasonableness of our calculations.</w:t>
      </w:r>
    </w:p>
    <w:p>
      <w:pPr>
        <w:keepNext/>
        <w:spacing w:before="320" w:after="160"/>
      </w:pPr>
      <w:r>
        <w:rPr>
          <w:rFonts w:ascii="Arial" w:hAnsi="Arial"/>
          <w:b/>
          <w:color w:val="14B8A6"/>
          <w:sz w:val="30"/>
        </w:rPr>
        <w:t>2. Success Criteria</w:t>
      </w:r>
    </w:p>
    <w:p>
      <w:pPr>
        <w:spacing w:after="80"/>
      </w:pPr>
      <w:r>
        <w:t>I can successfully:</w:t>
      </w:r>
    </w:p>
    <w:p>
      <w:pPr>
        <w:pStyle w:val="ListBullet"/>
        <w:spacing w:after="60"/>
      </w:pPr>
      <w:r>
        <w:t>Apply inverse operations to solve single-step addition, subtraction, multiplication, and division equations.</w:t>
      </w:r>
    </w:p>
    <w:p>
      <w:pPr>
        <w:pStyle w:val="ListBullet"/>
        <w:spacing w:after="60"/>
      </w:pPr>
      <w:r>
        <w:t>Recognise square numbers and explain their connection to multiplication facts.</w:t>
      </w:r>
    </w:p>
    <w:p>
      <w:pPr>
        <w:pStyle w:val="ListBullet"/>
        <w:spacing w:after="60"/>
      </w:pPr>
      <w:r>
        <w:t>Simplify known operations first to systematically solve multi-step numerical equations.</w:t>
      </w:r>
    </w:p>
    <w:p>
      <w:pPr>
        <w:pStyle w:val="ListBullet"/>
        <w:spacing w:after="60"/>
      </w:pPr>
      <w:r>
        <w:t>Use the distributive law to identify equivalent grouped expressions.</w:t>
      </w:r>
    </w:p>
    <w:p>
      <w:pPr>
        <w:pStyle w:val="ListBullet"/>
        <w:spacing w:after="60"/>
      </w:pPr>
      <w:r>
        <w:t>Check and prove the reasonableness of my solutions by substituting answers back into the original number sentence.</w:t>
      </w:r>
    </w:p>
    <w:p>
      <w:pPr>
        <w:keepNext/>
        <w:spacing w:before="320" w:after="160"/>
      </w:pPr>
      <w:r>
        <w:rPr>
          <w:rFonts w:ascii="Arial" w:hAnsi="Arial"/>
          <w:b/>
          <w:color w:val="14B8A6"/>
          <w:sz w:val="30"/>
        </w:rPr>
        <w:t>3. Introduction &amp; Warm-up (10 Minutes)</w:t>
      </w:r>
    </w:p>
    <w:p>
      <w:r>
        <w:t>Commence the lesson with a rapid-fire review of core number fact families. Write an incomplete triad on the board (e.g., 6, 8, 48) and prompt students to state the two multiplication and two division facts associated with it.</w:t>
      </w:r>
    </w:p>
    <w:p>
      <w:r>
        <w:t>Introduce the core conceptual anchor: “An equation is exactly like a balanced set of scales. The equals sign demands that the total value on the left side is identical to the total value on the right side.” Discuss why finding missing numbers is essential for real-world problem solving and estimating.</w:t>
      </w:r>
    </w:p>
    <w:p>
      <w:pPr>
        <w:keepNext/>
        <w:spacing w:before="320" w:after="160"/>
      </w:pPr>
      <w:r>
        <w:rPr>
          <w:rFonts w:ascii="Arial" w:hAnsi="Arial"/>
          <w:b/>
          <w:color w:val="14B8A6"/>
          <w:sz w:val="30"/>
        </w:rPr>
        <w:t>4. Direct Instruction &amp; Modeled Solving (20 Minutes)</w:t>
      </w:r>
    </w:p>
    <w:p>
      <w:r>
        <w:t>Project the accompanying PowerPoint presentation to guide interactive, step-by-step discovery:</w:t>
      </w:r>
    </w:p>
    <w:p>
      <w:pPr>
        <w:pStyle w:val="ListBullet"/>
        <w:spacing w:after="80"/>
      </w:pPr>
      <w:r>
        <w:t>Single-Step Inverse Operations: Guide students through Sections 1, 2, and 3 of the worksheet. Show explicitly how addition undoes subtraction, and multiplication undoes division. Model setting out clear written working.</w:t>
      </w:r>
    </w:p>
    <w:p>
      <w:pPr>
        <w:pStyle w:val="ListBullet"/>
        <w:spacing w:after="80"/>
      </w:pPr>
      <w:r>
        <w:t>Division &amp; Square Numbers: Address Section 4. Define squaring a number as multiplying it by itself. Reinforce that division missing numbers require careful examination of the total dividend vs. divisor.</w:t>
      </w:r>
    </w:p>
    <w:p>
      <w:pPr>
        <w:pStyle w:val="ListBullet"/>
        <w:spacing w:after="80"/>
      </w:pPr>
      <w:r>
        <w:t>Multi-Step Equations: Model Section 5. Teach the systematic strategy of 'simplify first'. For example, in the sentence 6 + 7 + [ ] = 15, first combine 6 + 7 to get 13, reducing the sentence to 13 + [ ] = 15.</w:t>
      </w:r>
    </w:p>
    <w:p>
      <w:pPr>
        <w:pStyle w:val="ListBullet"/>
        <w:spacing w:after="80"/>
      </w:pPr>
      <w:r>
        <w:t>Unlocking the Distributive Law: Analyze Section 6 collaboratively. Demonstrate how a factor outside a bracket distributes across terms added inside: A × (B + C) = (A × B) + (A × C). Guide students to visually match pairs rather than calculating massive totals.</w:t>
      </w:r>
    </w:p>
    <w:p>
      <w:pPr>
        <w:keepNext/>
        <w:spacing w:before="320" w:after="160"/>
      </w:pPr>
      <w:r>
        <w:rPr>
          <w:rFonts w:ascii="Arial" w:hAnsi="Arial"/>
          <w:b/>
          <w:color w:val="14B8A6"/>
          <w:sz w:val="30"/>
        </w:rPr>
        <w:t>5. Independent Practice (25 Minutes)</w:t>
      </w:r>
    </w:p>
    <w:p>
      <w:r>
        <w:t>Students open their resource books to complete the worksheet titled 'Extra Support 18: Finding missing numbers'. Circulate to monitor written recording strategies and facilitate targeted conversations.</w:t>
      </w:r>
    </w:p>
    <w:p>
      <w:pPr>
        <w:spacing w:after="80"/>
      </w:pPr>
    </w:p>
    <w:tbl>
      <w:tblPr>
        <w:tblW w:type="auto" w:w="0"/>
        <w:jc w:val="center"/>
        <w:tblLayout w:type="fixed"/>
        <w:tblLook w:firstColumn="1" w:firstRow="1" w:lastColumn="0" w:lastRow="0" w:noHBand="0" w:noVBand="1" w:val="04A0"/>
      </w:tblPr>
      <w:tblGrid>
        <w:gridCol w:w="4680"/>
        <w:gridCol w:w="4680"/>
      </w:tblGrid>
      <w:tr>
        <w:tc>
          <w:tcPr>
            <w:tcW w:type="dxa" w:w="2160"/>
            <w:tcW w:w="2160" w:type="dxa"/>
            <w:shd w:val="clear" w:color="auto" w:fill="0F172A"/>
            <w:tcMar>
              <w:top w:w="140" w:type="dxa"/>
              <w:bottom w:w="140" w:type="dxa"/>
              <w:left w:w="150" w:type="dxa"/>
              <w:right w:w="150" w:type="dxa"/>
            </w:tcMar>
          </w:tcPr>
          <w:p>
            <w:r>
              <w:rPr>
                <w:b/>
                <w:color w:val="FFFFFF"/>
              </w:rPr>
              <w:t>Readiness Level</w:t>
            </w:r>
          </w:p>
        </w:tc>
        <w:tc>
          <w:tcPr>
            <w:tcW w:type="dxa" w:w="7200"/>
            <w:tcW w:w="7200" w:type="dxa"/>
            <w:shd w:val="clear" w:color="auto" w:fill="0F172A"/>
            <w:tcMar>
              <w:top w:w="140" w:type="dxa"/>
              <w:bottom w:w="140" w:type="dxa"/>
              <w:left w:w="150" w:type="dxa"/>
              <w:right w:w="150" w:type="dxa"/>
            </w:tcMar>
          </w:tcPr>
          <w:p>
            <w:r>
              <w:rPr>
                <w:b/>
                <w:color w:val="FFFFFF"/>
              </w:rPr>
              <w:t>Targeted Strategy &amp; Task Adjustments</w:t>
            </w:r>
          </w:p>
        </w:tc>
      </w:tr>
      <w:tr>
        <w:tc>
          <w:tcPr>
            <w:tcW w:type="dxa" w:w="2160"/>
            <w:tcW w:w="2160" w:type="dxa"/>
            <w:tcMar>
              <w:top w:w="120" w:type="dxa"/>
              <w:bottom w:w="120" w:type="dxa"/>
              <w:left w:w="150" w:type="dxa"/>
              <w:right w:w="150" w:type="dxa"/>
            </w:tcMar>
            <w:shd w:val="clear" w:color="auto" w:fill="F8FAFC"/>
          </w:tcPr>
          <w:p>
            <w:pPr>
              <w:spacing w:after="0"/>
            </w:pPr>
            <w:r>
              <w:rPr>
                <w:b/>
                <w:color w:val="0F172A"/>
              </w:rPr>
              <w:t>Support</w:t>
              <w:br/>
              <w:t>(Tier 2)</w:t>
            </w:r>
          </w:p>
        </w:tc>
        <w:tc>
          <w:tcPr>
            <w:tcW w:type="dxa" w:w="7200"/>
            <w:tcW w:w="7200" w:type="dxa"/>
            <w:tcMar>
              <w:top w:w="120" w:type="dxa"/>
              <w:bottom w:w="120" w:type="dxa"/>
              <w:left w:w="150" w:type="dxa"/>
              <w:right w:w="150" w:type="dxa"/>
            </w:tcMar>
            <w:shd w:val="clear" w:color="auto" w:fill="F8FAFC"/>
          </w:tcPr>
          <w:p>
            <w:pPr>
              <w:spacing w:after="0"/>
            </w:pPr>
            <w:r>
              <w:t>Focus primarily on Sections 1 to 4. Provide concrete manipulatives, base-ten blocks, or physical multiplication grids. Encourage verbalising the sentence before attempting to write the missing digit.</w:t>
            </w:r>
          </w:p>
        </w:tc>
      </w:tr>
      <w:tr>
        <w:tc>
          <w:tcPr>
            <w:tcW w:type="dxa" w:w="2160"/>
            <w:tcW w:w="2160" w:type="dxa"/>
            <w:tcMar>
              <w:top w:w="120" w:type="dxa"/>
              <w:bottom w:w="120" w:type="dxa"/>
              <w:left w:w="150" w:type="dxa"/>
              <w:right w:w="150" w:type="dxa"/>
            </w:tcMar>
            <w:shd w:val="clear" w:color="auto" w:fill="FFFFFF"/>
          </w:tcPr>
          <w:p>
            <w:pPr>
              <w:spacing w:after="0"/>
            </w:pPr>
            <w:r>
              <w:rPr>
                <w:b/>
                <w:color w:val="0F172A"/>
              </w:rPr>
              <w:t>Core</w:t>
              <w:br/>
              <w:t>(Standard)</w:t>
            </w:r>
          </w:p>
        </w:tc>
        <w:tc>
          <w:tcPr>
            <w:tcW w:type="dxa" w:w="7200"/>
            <w:tcW w:w="7200" w:type="dxa"/>
            <w:tcMar>
              <w:top w:w="120" w:type="dxa"/>
              <w:bottom w:w="120" w:type="dxa"/>
              <w:left w:w="150" w:type="dxa"/>
              <w:right w:w="150" w:type="dxa"/>
            </w:tcMar>
            <w:shd w:val="clear" w:color="auto" w:fill="FFFFFF"/>
          </w:tcPr>
          <w:p>
            <w:pPr>
              <w:spacing w:after="0"/>
            </w:pPr>
            <w:r>
              <w:t>Complete Sections 1 to 5 independently. Instruct students to write down intermediate steps directly above multi-step operations to maintain complete working memory focus.</w:t>
            </w:r>
          </w:p>
        </w:tc>
      </w:tr>
      <w:tr>
        <w:tc>
          <w:tcPr>
            <w:tcW w:type="dxa" w:w="2160"/>
            <w:tcW w:w="2160" w:type="dxa"/>
            <w:tcMar>
              <w:top w:w="120" w:type="dxa"/>
              <w:bottom w:w="120" w:type="dxa"/>
              <w:left w:w="150" w:type="dxa"/>
              <w:right w:w="150" w:type="dxa"/>
            </w:tcMar>
            <w:shd w:val="clear" w:color="auto" w:fill="F8FAFC"/>
          </w:tcPr>
          <w:p>
            <w:pPr>
              <w:spacing w:after="0"/>
            </w:pPr>
            <w:r>
              <w:rPr>
                <w:b/>
                <w:color w:val="0F172A"/>
              </w:rPr>
              <w:t>Extension</w:t>
              <w:br/>
              <w:t>(Advanced)</w:t>
            </w:r>
          </w:p>
        </w:tc>
        <w:tc>
          <w:tcPr>
            <w:tcW w:type="dxa" w:w="7200"/>
            <w:tcW w:w="7200" w:type="dxa"/>
            <w:tcMar>
              <w:top w:w="120" w:type="dxa"/>
              <w:bottom w:w="120" w:type="dxa"/>
              <w:left w:w="150" w:type="dxa"/>
              <w:right w:w="150" w:type="dxa"/>
            </w:tcMar>
            <w:shd w:val="clear" w:color="auto" w:fill="F8FAFC"/>
          </w:tcPr>
          <w:p>
            <w:pPr>
              <w:spacing w:after="0"/>
            </w:pPr>
            <w:r>
              <w:t>Master Section 6 independently. Challenge students to formulate three original balancing equations utilising the distributive law and verify them with peers.</w:t>
            </w:r>
          </w:p>
        </w:tc>
      </w:tr>
    </w:tbl>
    <w:p>
      <w:pPr>
        <w:spacing w:after="240"/>
      </w:pPr>
    </w:p>
    <w:p>
      <w:pPr>
        <w:keepNext/>
        <w:spacing w:before="320" w:after="160"/>
      </w:pPr>
      <w:r>
        <w:rPr>
          <w:rFonts w:ascii="Arial" w:hAnsi="Arial"/>
          <w:b/>
          <w:color w:val="14B8A6"/>
          <w:sz w:val="30"/>
        </w:rPr>
        <w:t>6. Conclusion &amp; Consolidation (5 Minutes)</w:t>
      </w:r>
    </w:p>
    <w:p>
      <w:r>
        <w:t>Reconvene as a whole class to examine highly rigorous or deceptive sentences, such as question 4g ([ ] squared = 9) and multi-step subtractions. Invite students to articulate the explicit thought processes used to confirm their final answers.</w:t>
      </w:r>
    </w:p>
    <w:p>
      <w:r>
        <w:t>Conclude by reinforcing that verifying answers for reasonableness builds total mathematical confidence.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