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before="0" w:line="300" w:lineRule="auto"/>
      </w:pPr>
      <w:r>
        <w:rPr>
          <w:rFonts w:ascii="Arial" w:cs="Arial" w:eastAsia="Arial" w:hAnsi="Arial"/>
          <w:b/>
          <w:bCs/>
          <w:color w:val="D86755"/>
          <w:sz w:val="15"/>
          <w:szCs w:val="15"/>
        </w:rPr>
        <w:t xml:space="preserve">SUPPLEMENTAL LESSON 16 / STUDENT READING</w:t>
      </w:r>
    </w:p>
    <w:p>
      <w:pPr>
        <w:pStyle w:val="Title"/>
        <w:spacing w:after="15" w:before="0" w:line="300" w:lineRule="auto"/>
      </w:pPr>
      <w:r>
        <w:rPr>
          <w:rFonts w:ascii="Arial" w:cs="Arial" w:eastAsia="Arial" w:hAnsi="Arial"/>
          <w:b/>
          <w:bCs/>
          <w:color w:val="14213D"/>
          <w:sz w:val="31"/>
          <w:szCs w:val="31"/>
        </w:rPr>
        <w:t xml:space="preserve">Should School Start Later?</w:t>
      </w:r>
    </w:p>
    <w:p>
      <w:pPr>
        <w:pStyle w:val="Subtitle"/>
        <w:spacing w:after="55" w:before="0" w:line="300" w:lineRule="auto"/>
      </w:pPr>
      <w:r>
        <w:rPr>
          <w:rFonts w:ascii="Arial" w:cs="Arial" w:eastAsia="Arial" w:hAnsi="Arial"/>
          <w:color w:val="5F6F7B"/>
          <w:sz w:val="18"/>
          <w:szCs w:val="18"/>
        </w:rPr>
        <w:t xml:space="preserve">Read like a policy adviser: mark evidence (E), limits (L) and practical considerations (P).</w:t>
      </w:r>
    </w:p>
    <w:tbl>
      <w:tblPr>
        <w:tblW w:type="dxa" w:w="1054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40"/>
      </w:tblGrid>
      <w:tr>
        <w:tc>
          <w:tcPr>
            <w:tcW w:type="dxa" w:w="10540"/>
            <w:tcBorders>
              <w:top w:val="single" w:color="275D8C" w:sz="5"/>
              <w:left w:val="single" w:color="275D8C" w:sz="5"/>
              <w:bottom w:val="single" w:color="275D8C" w:sz="5"/>
              <w:right w:val="single" w:color="275D8C" w:sz="5"/>
            </w:tcBorders>
            <w:shd w:fill="EAF3F8" w:val="clear"/>
            <w:tcMar>
              <w:top w:type="dxa" w:w="110"/>
              <w:left w:type="dxa" w:w="110"/>
              <w:bottom w:type="dxa" w:w="110"/>
              <w:right w:type="dxa" w:w="110"/>
            </w:tcMar>
            <w:vAlign w:val="center"/>
          </w:tcPr>
          <w:p>
            <w:pPr>
              <w:spacing w:after="10" w:before="0" w:line="300" w:lineRule="auto"/>
            </w:pPr>
            <w:r>
              <w:rPr>
                <w:rFonts w:ascii="Arial" w:cs="Arial" w:eastAsia="Arial" w:hAnsi="Arial"/>
                <w:b/>
                <w:bCs/>
                <w:color w:val="275D8C"/>
                <w:sz w:val="17"/>
                <w:szCs w:val="17"/>
              </w:rPr>
              <w:t xml:space="preserve">READING MISSION</w:t>
            </w:r>
          </w:p>
          <w:p>
            <w:pPr>
              <w:spacing w:after="5" w:before="0" w:line="300" w:lineRule="auto"/>
            </w:pPr>
            <w:r>
              <w:rPr>
                <w:rFonts w:ascii="Arial" w:cs="Arial" w:eastAsia="Arial" w:hAnsi="Arial"/>
                <w:b/>
                <w:bCs/>
                <w:color w:val="202938"/>
                <w:sz w:val="20"/>
                <w:szCs w:val="20"/>
              </w:rPr>
              <w:t xml:space="preserve">Mark four E ideas, two L ideas and two P ideas. Keep each finding attached to its age group and source.</w:t>
            </w:r>
          </w:p>
        </w:tc>
      </w:tr>
    </w:tbl>
    <w:p>
      <w:pPr>
        <w:pStyle w:val="Heading2"/>
        <w:keepNext/>
        <w:spacing w:after="50" w:before="110" w:line="300" w:lineRule="auto"/>
      </w:pPr>
      <w:r>
        <w:rPr>
          <w:rFonts w:ascii="Arial" w:cs="Arial" w:eastAsia="Arial" w:hAnsi="Arial"/>
          <w:b/>
          <w:bCs/>
          <w:color w:val="275D8C"/>
          <w:sz w:val="23"/>
          <w:szCs w:val="23"/>
        </w:rPr>
        <w:t xml:space="preserve">1  Sleep need changes with age</w:t>
      </w:r>
    </w:p>
    <w:p>
      <w:pPr>
        <w:spacing w:after="70" w:before="0" w:line="300" w:lineRule="auto"/>
      </w:pPr>
      <w:r>
        <w:rPr>
          <w:rFonts w:ascii="Arial" w:cs="Arial" w:eastAsia="Arial" w:hAnsi="Arial"/>
          <w:color w:val="202938"/>
          <w:sz w:val="21"/>
          <w:szCs w:val="21"/>
        </w:rPr>
        <w:t xml:space="preserve">Sleep supports attention, memory, mood and health. Australian movement guidelines recommend 9-11 hours of uninterrupted sleep for young people aged 5-13 and 8-10 hours for those aged 14-17. These ranges show that sufficient sleep matters across school years. However, a sleep-duration recommendation does not by itself identify the best bell time for every school.</w:t>
      </w:r>
    </w:p>
    <w:p>
      <w:pPr>
        <w:pStyle w:val="Heading2"/>
        <w:keepNext/>
        <w:spacing w:after="50" w:before="110" w:line="300" w:lineRule="auto"/>
      </w:pPr>
      <w:r>
        <w:rPr>
          <w:rFonts w:ascii="Arial" w:cs="Arial" w:eastAsia="Arial" w:hAnsi="Arial"/>
          <w:b/>
          <w:bCs/>
          <w:color w:val="275D8C"/>
          <w:sz w:val="23"/>
          <w:szCs w:val="23"/>
        </w:rPr>
        <w:t xml:space="preserve">2  Why adolescence matters</w:t>
      </w:r>
    </w:p>
    <w:p>
      <w:pPr>
        <w:spacing w:after="70" w:before="0" w:line="300" w:lineRule="auto"/>
      </w:pPr>
      <w:r>
        <w:rPr>
          <w:rFonts w:ascii="Arial" w:cs="Arial" w:eastAsia="Arial" w:hAnsi="Arial"/>
          <w:color w:val="202938"/>
          <w:sz w:val="21"/>
          <w:szCs w:val="21"/>
        </w:rPr>
        <w:t xml:space="preserve">During puberty, many adolescents experience a natural shift in their circadian rhythm - the internal body clock that helps regulate sleep and waking. They often feel sleepy later at night and find early waking more difficult. Behaviour also matters: screens, homework, work, sport and irregular weekend sleep can delay bedtime. A later bell does not guarantee longer sleep if bedtime moves later too.</w:t>
      </w:r>
    </w:p>
    <w:p>
      <w:pPr>
        <w:spacing w:after="70" w:before="0" w:line="300" w:lineRule="auto"/>
      </w:pPr>
      <w:r>
        <w:rPr>
          <w:rFonts w:ascii="Arial" w:cs="Arial" w:eastAsia="Arial" w:hAnsi="Arial"/>
          <w:color w:val="202938"/>
          <w:sz w:val="21"/>
          <w:szCs w:val="21"/>
        </w:rPr>
        <w:t xml:space="preserve">The American Academy of Sleep Medicine recommends that middle and high schools start at 8:30 am or later. Its recommendation is designed to give adolescents a better opportunity to obtain enough sleep and arrive alert. Notice the boundary: it names middle and high schools. It is not a recommendation that every primary school must use the same start time.</w:t>
      </w:r>
    </w:p>
    <w:p>
      <w:pPr>
        <w:pStyle w:val="Heading2"/>
        <w:keepNext/>
        <w:spacing w:after="50" w:before="110" w:line="300" w:lineRule="auto"/>
      </w:pPr>
      <w:r>
        <w:rPr>
          <w:rFonts w:ascii="Arial" w:cs="Arial" w:eastAsia="Arial" w:hAnsi="Arial"/>
          <w:b/>
          <w:bCs/>
          <w:color w:val="275D8C"/>
          <w:sz w:val="23"/>
          <w:szCs w:val="23"/>
        </w:rPr>
        <w:t xml:space="preserve">3  What the research found</w:t>
      </w:r>
    </w:p>
    <w:p>
      <w:pPr>
        <w:spacing w:after="70" w:before="0" w:line="300" w:lineRule="auto"/>
      </w:pPr>
      <w:r>
        <w:rPr>
          <w:rFonts w:ascii="Arial" w:cs="Arial" w:eastAsia="Arial" w:hAnsi="Arial"/>
          <w:color w:val="202938"/>
          <w:sz w:val="21"/>
          <w:szCs w:val="21"/>
        </w:rPr>
        <w:t xml:space="preserve">A 2022 meta-analysis combined 28 studies and data from 1,774,509 participants. Across the studies, later school start times were associated with longer sleep, less negative mood and better overall developmental outcomes. Start times from 8:30 to 8:59 were associated with better outcomes than starts from 8:00 to 8:29. The researchers also found differences between school groups and said more research was needed for some outcomes and student characteristics.</w:t>
      </w:r>
    </w:p>
    <w:p>
      <w:pPr>
        <w:spacing w:after="70" w:before="0" w:line="300" w:lineRule="auto"/>
      </w:pPr>
      <w:r>
        <w:rPr>
          <w:rFonts w:ascii="Arial" w:cs="Arial" w:eastAsia="Arial" w:hAnsi="Arial"/>
          <w:color w:val="202938"/>
          <w:sz w:val="21"/>
          <w:szCs w:val="21"/>
        </w:rPr>
        <w:t xml:space="preserve">The phrase associated with matters. Many studies compare real schools rather than randomly assigning students to different bell times. Other differences between schools or families might affect results. The findings support considering a later start, but they do not promise the same benefit for every student or prove that one exact time will work everywhere.</w:t>
      </w:r>
    </w:p>
    <w:p>
      <w:pPr>
        <w:pStyle w:val="Heading2"/>
        <w:keepNext/>
        <w:spacing w:after="50" w:before="110" w:line="300" w:lineRule="auto"/>
      </w:pPr>
      <w:r>
        <w:rPr>
          <w:rFonts w:ascii="Arial" w:cs="Arial" w:eastAsia="Arial" w:hAnsi="Arial"/>
          <w:b/>
          <w:bCs/>
          <w:color w:val="275D8C"/>
          <w:sz w:val="23"/>
          <w:szCs w:val="23"/>
        </w:rPr>
        <w:t xml:space="preserve">4  Will grades rise?</w:t>
      </w:r>
    </w:p>
    <w:p>
      <w:pPr>
        <w:spacing w:after="70" w:before="0" w:line="300" w:lineRule="auto"/>
      </w:pPr>
      <w:r>
        <w:rPr>
          <w:rFonts w:ascii="Arial" w:cs="Arial" w:eastAsia="Arial" w:hAnsi="Arial"/>
          <w:color w:val="202938"/>
          <w:sz w:val="21"/>
          <w:szCs w:val="21"/>
        </w:rPr>
        <w:t xml:space="preserve">A separate 2022 systematic review examined grades and test scores in middle and high schools. It did not find a clear, generalisable improvement in academic achievement after later starts. Most studies did not show academic harm either: achievement was generally maintained. This means a persuasive case should not claim that later bells will definitely raise grades. Health, sleep, mood, attendance or readiness may be stronger criteria.</w:t>
      </w:r>
    </w:p>
    <w:p>
      <w:pPr>
        <w:pageBreakBefore/>
        <w:spacing w:after="0" w:before="0" w:line="300" w:lineRule="auto"/>
      </w:pPr>
      <w:r>
        <w:rPr>
          <w:rFonts w:ascii="Arial" w:cs="Arial" w:eastAsia="Arial" w:hAnsi="Arial"/>
          <w:color w:val="202938"/>
          <w:sz w:val="20"/>
          <w:szCs w:val="20"/>
        </w:rPr>
        <w:t xml:space="preserve"/>
      </w:r>
    </w:p>
    <w:p>
      <w:pPr>
        <w:spacing w:after="16" w:before="0" w:line="300" w:lineRule="auto"/>
      </w:pPr>
      <w:r>
        <w:rPr>
          <w:rFonts w:ascii="Arial" w:cs="Arial" w:eastAsia="Arial" w:hAnsi="Arial"/>
          <w:b/>
          <w:bCs/>
          <w:color w:val="D86755"/>
          <w:sz w:val="15"/>
          <w:szCs w:val="15"/>
        </w:rPr>
        <w:t xml:space="preserve">SUPPLEMENTAL LESSON 16 / STUDENT READING</w:t>
      </w:r>
    </w:p>
    <w:p>
      <w:pPr>
        <w:pStyle w:val="Title"/>
        <w:spacing w:after="15" w:before="0" w:line="300" w:lineRule="auto"/>
      </w:pPr>
      <w:r>
        <w:rPr>
          <w:rFonts w:ascii="Arial" w:cs="Arial" w:eastAsia="Arial" w:hAnsi="Arial"/>
          <w:b/>
          <w:bCs/>
          <w:color w:val="14213D"/>
          <w:sz w:val="29"/>
          <w:szCs w:val="29"/>
        </w:rPr>
        <w:t xml:space="preserve">From Evidence to a Local Decision</w:t>
      </w:r>
    </w:p>
    <w:p>
      <w:pPr>
        <w:pStyle w:val="Subtitle"/>
        <w:spacing w:after="55" w:before="0" w:line="300" w:lineRule="auto"/>
      </w:pPr>
      <w:r>
        <w:rPr>
          <w:rFonts w:ascii="Arial" w:cs="Arial" w:eastAsia="Arial" w:hAnsi="Arial"/>
          <w:color w:val="5F6F7B"/>
          <w:sz w:val="18"/>
          <w:szCs w:val="18"/>
        </w:rPr>
        <w:t xml:space="preserve">Good policy reasoning joins research with local needs, practical effects and a plan to check results.</w:t>
      </w:r>
    </w:p>
    <w:p>
      <w:pPr>
        <w:pStyle w:val="Heading2"/>
        <w:keepNext/>
        <w:spacing w:after="50" w:before="110" w:line="300" w:lineRule="auto"/>
      </w:pPr>
      <w:r>
        <w:rPr>
          <w:rFonts w:ascii="Arial" w:cs="Arial" w:eastAsia="Arial" w:hAnsi="Arial"/>
          <w:b/>
          <w:bCs/>
          <w:color w:val="275D8C"/>
          <w:sz w:val="23"/>
          <w:szCs w:val="23"/>
        </w:rPr>
        <w:t xml:space="preserve">5  The practical counterview</w:t>
      </w:r>
    </w:p>
    <w:p>
      <w:pPr>
        <w:spacing w:after="70" w:before="0" w:line="300" w:lineRule="auto"/>
      </w:pPr>
      <w:r>
        <w:rPr>
          <w:rFonts w:ascii="Arial" w:cs="Arial" w:eastAsia="Arial" w:hAnsi="Arial"/>
          <w:color w:val="202938"/>
          <w:sz w:val="21"/>
          <w:szCs w:val="21"/>
        </w:rPr>
        <w:t xml:space="preserve">Changing a school day affects more than the first lesson. Bus routes, staff hours, family drop-off, before-school care, afternoon sport, part-time work and homework routines may also change. These concerns do not prove that a later start is wrong. They are practical questions that a decision-maker must investigate rather than dismiss.</w:t>
      </w:r>
    </w:p>
    <w:p>
      <w:pPr>
        <w:spacing w:after="70" w:before="0" w:line="300" w:lineRule="auto"/>
      </w:pPr>
      <w:r>
        <w:rPr>
          <w:rFonts w:ascii="Arial" w:cs="Arial" w:eastAsia="Arial" w:hAnsi="Arial"/>
          <w:color w:val="202938"/>
          <w:sz w:val="21"/>
          <w:szCs w:val="21"/>
        </w:rPr>
        <w:t xml:space="preserve">A school could respond by consulting families, redesigning transport, shifting activity times, teaching healthy sleep habits, or running a limited trial. A trial is strongest when leaders decide in advance what to measure - for example sleep duration, daytime sleepiness, attendance, lateness and scheduling problems - and what result would support keeping or reversing the change.</w:t>
      </w:r>
    </w:p>
    <w:p>
      <w:pPr>
        <w:pStyle w:val="Heading2"/>
        <w:keepNext/>
        <w:spacing w:after="50" w:before="110" w:line="300" w:lineRule="auto"/>
      </w:pPr>
      <w:r>
        <w:rPr>
          <w:rFonts w:ascii="Arial" w:cs="Arial" w:eastAsia="Arial" w:hAnsi="Arial"/>
          <w:b/>
          <w:bCs/>
          <w:color w:val="275D8C"/>
          <w:sz w:val="23"/>
          <w:szCs w:val="23"/>
        </w:rPr>
        <w:t xml:space="preserve">6  The age-boundary problem</w:t>
      </w:r>
    </w:p>
    <w:p>
      <w:pPr>
        <w:spacing w:after="70" w:before="0" w:line="300" w:lineRule="auto"/>
      </w:pPr>
      <w:r>
        <w:rPr>
          <w:rFonts w:ascii="Arial" w:cs="Arial" w:eastAsia="Arial" w:hAnsi="Arial"/>
          <w:color w:val="202938"/>
          <w:sz w:val="21"/>
          <w:szCs w:val="21"/>
        </w:rPr>
        <w:t xml:space="preserve">A combined primary-secondary school faces a difficult evidence question. Primary-aged children need plenty of sleep, but the adolescent body-clock explanation and the 8:30 recommendation do not automatically transfer to them. Evidence can be trustworthy yet still be only partly relevant to a different age group.</w:t>
      </w:r>
    </w:p>
    <w:p>
      <w:pPr>
        <w:spacing w:after="70" w:before="0" w:line="300" w:lineRule="auto"/>
      </w:pPr>
      <w:r>
        <w:rPr>
          <w:rFonts w:ascii="Arial" w:cs="Arial" w:eastAsia="Arial" w:hAnsi="Arial"/>
          <w:color w:val="202938"/>
          <w:sz w:val="21"/>
          <w:szCs w:val="21"/>
        </w:rPr>
        <w:t xml:space="preserve">A defensible policy verdict therefore names the group. A student might recommend a later start for secondary students, oppose a change until local evidence is gathered, or propose a secondary-only trial. Each position can be persuasive if it uses relevant evidence, explains a criterion, answers a fair counterview and states what the research cannot yet prove.</w:t>
      </w:r>
    </w:p>
    <w:p>
      <w:pPr>
        <w:pStyle w:val="Heading2"/>
        <w:keepNext/>
        <w:spacing w:after="50" w:before="110" w:line="300" w:lineRule="auto"/>
      </w:pPr>
      <w:r>
        <w:rPr>
          <w:rFonts w:ascii="Arial" w:cs="Arial" w:eastAsia="Arial" w:hAnsi="Arial"/>
          <w:b/>
          <w:bCs/>
          <w:color w:val="275D8C"/>
          <w:sz w:val="23"/>
          <w:szCs w:val="23"/>
        </w:rPr>
        <w:t xml:space="preserve">Evidence snapshot</w:t>
      </w:r>
    </w:p>
    <w:tbl>
      <w:tblPr>
        <w:tblW w:type="dxa" w:w="1054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0"/>
        <w:gridCol w:w="3000"/>
        <w:gridCol w:w="3590"/>
      </w:tblGrid>
      <w:tr>
        <w:trPr>
          <w:tblHeader/>
        </w:trPr>
        <w:tc>
          <w:tcPr>
            <w:tcW w:type="dxa" w:w="3950"/>
            <w:tcBorders>
              <w:top w:val="single" w:color="A9BCC7" w:sz="5"/>
              <w:left w:val="single" w:color="A9BCC7" w:sz="5"/>
              <w:bottom w:val="single" w:color="A9BCC7" w:sz="5"/>
              <w:right w:val="single" w:color="A9BCC7" w:sz="5"/>
            </w:tcBorders>
            <w:shd w:fill="14213D" w:val="clear"/>
            <w:tcMar>
              <w:top w:type="dxa" w:w="90"/>
              <w:left w:type="dxa" w:w="110"/>
              <w:bottom w:type="dxa" w:w="90"/>
              <w:right w:type="dxa" w:w="110"/>
            </w:tcMar>
            <w:vAlign w:val="center"/>
          </w:tcPr>
          <w:p>
            <w:pPr>
              <w:spacing w:after="15" w:before="0" w:line="250" w:lineRule="auto"/>
            </w:pPr>
            <w:r>
              <w:rPr>
                <w:rFonts w:ascii="Arial" w:cs="Arial" w:eastAsia="Arial" w:hAnsi="Arial"/>
                <w:b/>
                <w:bCs/>
                <w:color w:val="FFFFFF"/>
                <w:sz w:val="17"/>
                <w:szCs w:val="17"/>
              </w:rPr>
              <w:t xml:space="preserve">Finding</w:t>
            </w:r>
          </w:p>
        </w:tc>
        <w:tc>
          <w:tcPr>
            <w:tcW w:type="dxa" w:w="3000"/>
            <w:tcBorders>
              <w:top w:val="single" w:color="A9BCC7" w:sz="5"/>
              <w:left w:val="single" w:color="A9BCC7" w:sz="5"/>
              <w:bottom w:val="single" w:color="A9BCC7" w:sz="5"/>
              <w:right w:val="single" w:color="A9BCC7" w:sz="5"/>
            </w:tcBorders>
            <w:shd w:fill="14213D" w:val="clear"/>
            <w:tcMar>
              <w:top w:type="dxa" w:w="90"/>
              <w:left w:type="dxa" w:w="110"/>
              <w:bottom w:type="dxa" w:w="90"/>
              <w:right w:type="dxa" w:w="110"/>
            </w:tcMar>
            <w:vAlign w:val="center"/>
          </w:tcPr>
          <w:p>
            <w:pPr>
              <w:spacing w:after="15" w:before="0" w:line="250" w:lineRule="auto"/>
            </w:pPr>
            <w:r>
              <w:rPr>
                <w:rFonts w:ascii="Arial" w:cs="Arial" w:eastAsia="Arial" w:hAnsi="Arial"/>
                <w:b/>
                <w:bCs/>
                <w:color w:val="FFFFFF"/>
                <w:sz w:val="17"/>
                <w:szCs w:val="17"/>
              </w:rPr>
              <w:t xml:space="preserve">Useful for</w:t>
            </w:r>
          </w:p>
        </w:tc>
        <w:tc>
          <w:tcPr>
            <w:tcW w:type="dxa" w:w="3590"/>
            <w:tcBorders>
              <w:top w:val="single" w:color="A9BCC7" w:sz="5"/>
              <w:left w:val="single" w:color="A9BCC7" w:sz="5"/>
              <w:bottom w:val="single" w:color="A9BCC7" w:sz="5"/>
              <w:right w:val="single" w:color="A9BCC7" w:sz="5"/>
            </w:tcBorders>
            <w:shd w:fill="14213D" w:val="clear"/>
            <w:tcMar>
              <w:top w:type="dxa" w:w="90"/>
              <w:left w:type="dxa" w:w="110"/>
              <w:bottom w:type="dxa" w:w="90"/>
              <w:right w:type="dxa" w:w="110"/>
            </w:tcMar>
            <w:vAlign w:val="center"/>
          </w:tcPr>
          <w:p>
            <w:pPr>
              <w:spacing w:after="15" w:before="0" w:line="250" w:lineRule="auto"/>
            </w:pPr>
            <w:r>
              <w:rPr>
                <w:rFonts w:ascii="Arial" w:cs="Arial" w:eastAsia="Arial" w:hAnsi="Arial"/>
                <w:b/>
                <w:bCs/>
                <w:color w:val="FFFFFF"/>
                <w:sz w:val="17"/>
                <w:szCs w:val="17"/>
              </w:rPr>
              <w:t xml:space="preserve">Necessary limit</w:t>
            </w:r>
          </w:p>
        </w:tc>
      </w:tr>
      <w:tr>
        <w:tc>
          <w:tcPr>
            <w:tcW w:type="dxa" w:w="395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Later starts were associated with longer sleep and less negative mood.</w:t>
            </w:r>
          </w:p>
        </w:tc>
        <w:tc>
          <w:tcPr>
            <w:tcW w:type="dxa" w:w="300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Health / readiness</w:t>
            </w:r>
          </w:p>
        </w:tc>
        <w:tc>
          <w:tcPr>
            <w:tcW w:type="dxa" w:w="359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Association is not a guarantee.</w:t>
            </w:r>
          </w:p>
        </w:tc>
      </w:tr>
      <w:tr>
        <w:tc>
          <w:tcPr>
            <w:tcW w:type="dxa" w:w="395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AASM recommends 8:30 or later for middle and high schools.</w:t>
            </w:r>
          </w:p>
        </w:tc>
        <w:tc>
          <w:tcPr>
            <w:tcW w:type="dxa" w:w="300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Secondary policy option</w:t>
            </w:r>
          </w:p>
        </w:tc>
        <w:tc>
          <w:tcPr>
            <w:tcW w:type="dxa" w:w="359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Not an all-primary recommendation.</w:t>
            </w:r>
          </w:p>
        </w:tc>
      </w:tr>
      <w:tr>
        <w:tc>
          <w:tcPr>
            <w:tcW w:type="dxa" w:w="395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Achievement generally remained stable; clear general improvement was not found.</w:t>
            </w:r>
          </w:p>
        </w:tc>
        <w:tc>
          <w:tcPr>
            <w:tcW w:type="dxa" w:w="300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Honest academic claim</w:t>
            </w:r>
          </w:p>
        </w:tc>
        <w:tc>
          <w:tcPr>
            <w:tcW w:type="dxa" w:w="3590"/>
            <w:tcBorders>
              <w:top w:val="single" w:color="A9BCC7" w:sz="5"/>
              <w:left w:val="single" w:color="A9BCC7" w:sz="5"/>
              <w:bottom w:val="single" w:color="A9BCC7" w:sz="5"/>
              <w:right w:val="single" w:color="A9BCC7" w:sz="5"/>
            </w:tcBorders>
            <w:tcMar>
              <w:top w:type="dxa" w:w="90"/>
              <w:left w:type="dxa" w:w="110"/>
              <w:bottom w:type="dxa" w:w="90"/>
              <w:right w:type="dxa" w:w="110"/>
            </w:tcMar>
            <w:vAlign w:val="center"/>
          </w:tcPr>
          <w:p>
            <w:pPr>
              <w:spacing w:after="15" w:before="0" w:line="250" w:lineRule="auto"/>
            </w:pPr>
            <w:r>
              <w:rPr>
                <w:rFonts w:ascii="Arial" w:cs="Arial" w:eastAsia="Arial" w:hAnsi="Arial"/>
                <w:color w:val="202938"/>
                <w:sz w:val="18"/>
                <w:szCs w:val="18"/>
              </w:rPr>
              <w:t xml:space="preserve">Do not promise higher grades.</w:t>
            </w:r>
          </w:p>
        </w:tc>
      </w:tr>
    </w:tbl>
    <w:p>
      <w:pPr>
        <w:pStyle w:val="Heading2"/>
        <w:keepNext/>
        <w:spacing w:after="50" w:before="110" w:line="300" w:lineRule="auto"/>
      </w:pPr>
      <w:r>
        <w:rPr>
          <w:rFonts w:ascii="Arial" w:cs="Arial" w:eastAsia="Arial" w:hAnsi="Arial"/>
          <w:b/>
          <w:bCs/>
          <w:color w:val="D86755"/>
          <w:sz w:val="23"/>
          <w:szCs w:val="23"/>
        </w:rPr>
        <w:t xml:space="preserve">Quick evidence check</w:t>
      </w:r>
    </w:p>
    <w:p>
      <w:pPr>
        <w:spacing w:after="40" w:before="0" w:line="300" w:lineRule="auto"/>
      </w:pPr>
      <w:r>
        <w:rPr>
          <w:rFonts w:ascii="Arial" w:cs="Arial" w:eastAsia="Arial" w:hAnsi="Arial"/>
          <w:color w:val="202938"/>
          <w:sz w:val="19"/>
          <w:szCs w:val="19"/>
        </w:rPr>
        <w:t xml:space="preserve">1. Why is 'all schools should start at 8:30' an overclaim? __________________________________________</w:t>
      </w:r>
    </w:p>
    <w:p>
      <w:pPr>
        <w:spacing w:after="40" w:before="0" w:line="300" w:lineRule="auto"/>
      </w:pPr>
      <w:r>
        <w:rPr>
          <w:rFonts w:ascii="Arial" w:cs="Arial" w:eastAsia="Arial" w:hAnsi="Arial"/>
          <w:color w:val="202938"/>
          <w:sz w:val="19"/>
          <w:szCs w:val="19"/>
        </w:rPr>
        <w:t xml:space="preserve">2. Which local effect would you investigate? ______________________________________________________</w:t>
      </w:r>
    </w:p>
    <w:p>
      <w:pPr>
        <w:spacing w:after="35" w:before="0" w:line="300" w:lineRule="auto"/>
      </w:pPr>
      <w:r>
        <w:rPr>
          <w:rFonts w:ascii="Arial" w:cs="Arial" w:eastAsia="Arial" w:hAnsi="Arial"/>
          <w:color w:val="202938"/>
          <w:sz w:val="19"/>
          <w:szCs w:val="19"/>
        </w:rPr>
        <w:t xml:space="preserve">3. Which criterion should matter most? Why? _____________________________________________________</w:t>
      </w:r>
    </w:p>
    <w:p>
      <w:pPr>
        <w:pStyle w:val="Heading2"/>
        <w:keepNext/>
        <w:spacing w:after="25" w:before="70" w:line="300" w:lineRule="auto"/>
      </w:pPr>
      <w:r>
        <w:rPr>
          <w:rFonts w:ascii="Arial" w:cs="Arial" w:eastAsia="Arial" w:hAnsi="Arial"/>
          <w:b/>
          <w:bCs/>
          <w:color w:val="5F6F7B"/>
          <w:sz w:val="19"/>
          <w:szCs w:val="19"/>
        </w:rPr>
        <w:t xml:space="preserve">Source trail</w:t>
      </w:r>
    </w:p>
    <w:p>
      <w:pPr>
        <w:spacing w:after="0" w:before="0" w:line="230" w:lineRule="auto"/>
      </w:pPr>
      <w:r>
        <w:rPr>
          <w:rFonts w:ascii="Arial" w:cs="Arial" w:eastAsia="Arial" w:hAnsi="Arial"/>
          <w:color w:val="5F6F7B"/>
          <w:sz w:val="16"/>
          <w:szCs w:val="16"/>
        </w:rPr>
        <w:t xml:space="preserve">[1] Australian Government, 24-hour movement guidelines (updated 2026). [2] American Academy of Sleep Medicine, School Start Times Health Advisory and Watson et al. (2017). [3] Yip et al. (2022), Pediatrics meta-analysis. [4] Marx et al. (2022), Sleep Medicine Reviews. [5] Sleep Health Foundation, Teenage Sleep (2024). Full links are in the Teacher Guide. Facts checked 29 July 2026.</w:t>
      </w:r>
    </w:p>
    <w:sectPr>
      <w:footerReference w:type="default" r:id="rId7"/>
      <w:pgSz w:w="11906" w:h="16838" w:orient="portrait"/>
      <w:pgMar w:top="850" w:right="850" w:bottom="850" w:left="85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F7B"/>
        <w:sz w:val="14"/>
        <w:szCs w:val="14"/>
      </w:rPr>
      <w:t xml:space="preserve">Bell-Time reading  |  </w:t>
    </w:r>
    <w:r>
      <w:rPr>
        <w:rFonts w:ascii="Arial" w:cs="Arial" w:eastAsia="Arial" w:hAnsi="Arial"/>
        <w:color w:val="5F6F7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938"/>
        <w:sz w:val="20"/>
        <w:szCs w:val="20"/>
      </w:rPr>
    </w:rPrDefault>
    <w:pPrDefault>
      <w:pPr>
        <w:spacing w:after="120" w:line="300" w:lineRule="auto"/>
      </w:pPr>
    </w:pPrDefault>
  </w:docDefaults>
  <w:style w:type="paragraph" w:styleId="Title">
    <w:name w:val="Title"/>
    <w:basedOn w:val="Normal"/>
    <w:next w:val="Normal"/>
    <w:qFormat/>
    <w:pPr>
      <w:keepNext/>
      <w:spacing w:after="60" w:before="0"/>
    </w:pPr>
    <w:rPr>
      <w:rFonts w:ascii="Arial" w:cs="Arial" w:eastAsia="Arial" w:hAnsi="Arial"/>
      <w:b/>
      <w:bCs/>
      <w:color w:val="14213D"/>
      <w:sz w:val="36"/>
      <w:szCs w:val="36"/>
    </w:rPr>
  </w:style>
  <w:style w:type="paragraph" w:styleId="Heading1">
    <w:name w:val="Heading 1"/>
    <w:basedOn w:val="Normal"/>
    <w:next w:val="Normal"/>
    <w:qFormat/>
    <w:pPr>
      <w:keepNext/>
      <w:spacing w:after="200" w:before="360"/>
    </w:pPr>
    <w:rPr>
      <w:rFonts w:ascii="Arial" w:cs="Arial" w:eastAsia="Arial" w:hAnsi="Arial"/>
      <w:b/>
      <w:bCs/>
      <w:color w:val="275D8C"/>
      <w:sz w:val="32"/>
      <w:szCs w:val="32"/>
    </w:rPr>
  </w:style>
  <w:style w:type="paragraph" w:styleId="Heading2">
    <w:name w:val="Heading 2"/>
    <w:basedOn w:val="Normal"/>
    <w:next w:val="Normal"/>
    <w:qFormat/>
    <w:pPr>
      <w:keepNext/>
      <w:spacing w:after="140" w:before="280"/>
    </w:pPr>
    <w:rPr>
      <w:rFonts w:ascii="Arial" w:cs="Arial" w:eastAsia="Arial" w:hAnsi="Arial"/>
      <w:b/>
      <w:bCs/>
      <w:color w:val="275D8C"/>
      <w:sz w:val="26"/>
      <w:szCs w:val="26"/>
    </w:rPr>
  </w:style>
  <w:style w:type="paragraph" w:styleId="Heading3">
    <w:name w:val="Heading 3"/>
    <w:basedOn w:val="Normal"/>
    <w:next w:val="Normal"/>
    <w:qFormat/>
    <w:pPr>
      <w:keepNext/>
      <w:spacing w:after="100" w:before="200"/>
    </w:pPr>
    <w:rPr>
      <w:rFonts w:ascii="Arial" w:cs="Arial" w:eastAsia="Arial" w:hAnsi="Arial"/>
      <w:b/>
      <w:bCs/>
      <w:color w:val="14213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16 Later School Start Reading Pack</dc:title>
  <dc:creator>English Unit 3 lesson generator</dc:creator>
  <dc:description>Supplemental Lesson 16 resource for research-informed persuasive policy writing.</dc:description>
  <cp:lastModifiedBy>Un-named</cp:lastModifiedBy>
  <cp:revision>1</cp:revision>
  <dcterms:created xsi:type="dcterms:W3CDTF">2026-07-29T10:43:03.641Z</dcterms:created>
  <dcterms:modified xsi:type="dcterms:W3CDTF">2026-07-29T10:43:03.642Z</dcterms:modified>
</cp:coreProperties>
</file>

<file path=docProps/custom.xml><?xml version="1.0" encoding="utf-8"?>
<Properties xmlns="http://schemas.openxmlformats.org/officeDocument/2006/custom-properties" xmlns:vt="http://schemas.openxmlformats.org/officeDocument/2006/docPropsVTypes"/>
</file>