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168C86"/>
          <w:sz w:val="18"/>
        </w:rPr>
        <w:t>COUNCIL EVIDENCE BRIEFING</w:t>
      </w:r>
    </w:p>
    <w:p>
      <w:pPr>
        <w:keepNext/>
        <w:spacing w:before="0" w:after="60" w:line="240" w:lineRule="auto"/>
      </w:pPr>
      <w:r>
        <w:rPr>
          <w:rFonts w:ascii="Calibri" w:hAnsi="Calibri"/>
          <w:b/>
          <w:color w:val="071C2C"/>
          <w:sz w:val="46"/>
        </w:rPr>
        <w:t>Turtle-Safe Nights</w:t>
      </w:r>
    </w:p>
    <w:p>
      <w:pPr>
        <w:keepNext w:val="0"/>
        <w:spacing w:before="0" w:after="160" w:line="252" w:lineRule="auto"/>
        <w:pBdr>
          <w:bottom w:val="single" w:sz="16" w:space="8" w:color="F2C14E"/>
        </w:pBdr>
      </w:pPr>
      <w:r>
        <w:rPr>
          <w:rFonts w:ascii="Calibri" w:hAnsi="Calibri"/>
          <w:i/>
          <w:color w:val="526873"/>
          <w:sz w:val="23"/>
        </w:rPr>
        <w:t>How one change to the night horizon can create a chain of consequences</w:t>
      </w:r>
    </w:p>
    <w:p>
      <w:pPr>
        <w:keepNext w:val="0"/>
        <w:spacing w:before="0" w:after="120" w:line="240" w:lineRule="auto"/>
        <w:jc w:val="right"/>
      </w:pPr>
      <w:r>
        <w:rPr>
          <w:rFonts w:ascii="Calibri" w:hAnsi="Calibri"/>
          <w:b/>
          <w:color w:val="526873"/>
          <w:sz w:val="17"/>
        </w:rPr>
        <w:t>READ • MARK E / A / V / ?</w:t>
      </w:r>
    </w:p>
    <w:p>
      <w:pPr>
        <w:keepNext w:val="0"/>
        <w:spacing w:before="90" w:after="90" w:line="276" w:lineRule="auto"/>
        <w:shd w:fill="FFF4D6"/>
        <w:pBdr>
          <w:left w:val="single" w:sz="22" w:space="8" w:color="EF6F61"/>
        </w:pBdr>
      </w:pPr>
      <w:r>
        <w:rPr>
          <w:rFonts w:ascii="Calibri" w:hAnsi="Calibri"/>
          <w:b/>
          <w:color w:val="EF6F61"/>
          <w:sz w:val="21"/>
        </w:rPr>
        <w:t xml:space="preserve">Decision: </w:t>
      </w:r>
      <w:r>
        <w:rPr>
          <w:rFonts w:ascii="Calibri" w:hAnsi="Calibri"/>
          <w:color w:val="162A35"/>
          <w:sz w:val="21"/>
        </w:rPr>
        <w:t>Should a coastal council strengthen beachfront-lighting rules during locally verified marine turtle nesting and hatching periods?</w:t>
      </w:r>
    </w:p>
    <w:p>
      <w:pPr>
        <w:pStyle w:val="Heading1"/>
        <w:keepNext/>
        <w:spacing w:before="180" w:after="100" w:line="240" w:lineRule="auto"/>
      </w:pPr>
      <w:r>
        <w:rPr>
          <w:rFonts w:ascii="Calibri" w:hAnsi="Calibri"/>
          <w:b/>
          <w:color w:val="10374F"/>
          <w:sz w:val="30"/>
        </w:rPr>
        <w:t>The night horizon is a map</w:t>
      </w:r>
    </w:p>
    <w:p>
      <w:pPr>
        <w:keepNext w:val="0"/>
        <w:spacing w:before="0" w:after="80" w:line="276" w:lineRule="auto"/>
      </w:pPr>
      <w:r>
        <w:rPr>
          <w:rFonts w:ascii="Calibri" w:hAnsi="Calibri"/>
          <w:b w:val="0"/>
          <w:i w:val="0"/>
          <w:color w:val="162A35"/>
          <w:sz w:val="21"/>
        </w:rPr>
        <w:t>Most marine turtle nesting and hatching activity happens at night. A nesting female approaches the coast from the sea, and newly emerged hatchlings must move from the nest to the water. In a naturally dark landscape, the open ocean horizon is usually the brightest and lowest part of the scene. Hatchlings use this light pattern, together with the beach landscape, to orient toward the sea.</w:t>
      </w:r>
    </w:p>
    <w:p>
      <w:pPr>
        <w:keepNext w:val="0"/>
        <w:spacing w:before="0" w:after="80" w:line="276" w:lineRule="auto"/>
      </w:pPr>
      <w:r>
        <w:rPr>
          <w:rFonts w:ascii="Calibri" w:hAnsi="Calibri"/>
          <w:b w:val="0"/>
          <w:i w:val="0"/>
          <w:color w:val="162A35"/>
          <w:sz w:val="21"/>
        </w:rPr>
        <w:t>Artificial light can change that map. A single unshielded light may be visible from a beach, while many smaller lights can combine as skyglow above a town. National guidance reports that brightly lit beaches can disturb or discourage nesting females. Direct light and skyglow can also disorient hatchlings, drawing them inland, making them circle or causing them to remain near the shore.</w:t>
      </w:r>
    </w:p>
    <w:p>
      <w:pPr>
        <w:keepNext w:val="0"/>
        <w:spacing w:before="90" w:after="90" w:line="276" w:lineRule="auto"/>
        <w:shd w:fill="EAF7F4"/>
        <w:pBdr>
          <w:left w:val="single" w:sz="22" w:space="8" w:color="168C86"/>
        </w:pBdr>
      </w:pPr>
      <w:r>
        <w:rPr>
          <w:rFonts w:ascii="Calibri" w:hAnsi="Calibri"/>
          <w:b/>
          <w:color w:val="168C86"/>
          <w:sz w:val="21"/>
        </w:rPr>
        <w:t xml:space="preserve">Consequence boundary: </w:t>
      </w:r>
      <w:r>
        <w:rPr>
          <w:rFonts w:ascii="Calibri" w:hAnsi="Calibri"/>
          <w:color w:val="162A35"/>
          <w:sz w:val="21"/>
        </w:rPr>
        <w:t>Disorientation increases risks such as exhaustion, dehydration, overheating, predation or vehicle strike. It does not mean that every light produces the same response in every turtle.</w:t>
      </w:r>
    </w:p>
    <w:p>
      <w:pPr>
        <w:pStyle w:val="Heading1"/>
        <w:keepNext/>
        <w:spacing w:before="180" w:after="100" w:line="240" w:lineRule="auto"/>
      </w:pPr>
      <w:r>
        <w:rPr>
          <w:rFonts w:ascii="Calibri" w:hAnsi="Calibri"/>
          <w:b/>
          <w:color w:val="10374F"/>
          <w:sz w:val="30"/>
        </w:rPr>
        <w:t>An opportunity before the season begins</w:t>
      </w:r>
    </w:p>
    <w:p>
      <w:pPr>
        <w:keepNext w:val="0"/>
        <w:spacing w:before="0" w:after="80" w:line="276" w:lineRule="auto"/>
      </w:pPr>
      <w:r>
        <w:rPr>
          <w:rFonts w:ascii="Calibri" w:hAnsi="Calibri"/>
          <w:b w:val="0"/>
          <w:i w:val="0"/>
          <w:color w:val="162A35"/>
          <w:sz w:val="21"/>
        </w:rPr>
        <w:t>Queensland maps significant turtle nesting areas to help councils and other plan-makers identify places where lighting requires special care. The Sea Turtle Sensitive Area Model Code gives local governments example planning provisions, including ways to avoid direct artificial light reaching beaches, the ocean and the sky. The model is voluntary and can be refined for local conditions.</w:t>
      </w:r>
    </w:p>
    <w:p>
      <w:pPr>
        <w:keepNext w:val="0"/>
        <w:spacing w:before="0" w:after="80" w:line="276" w:lineRule="auto"/>
      </w:pPr>
      <w:r>
        <w:rPr>
          <w:rFonts w:ascii="Calibri" w:hAnsi="Calibri"/>
          <w:b w:val="0"/>
          <w:i w:val="0"/>
          <w:color w:val="162A35"/>
          <w:sz w:val="21"/>
        </w:rPr>
        <w:t>This creates an opportunity: a council can review its rules before the next local nesting and hatching period. It could keep existing arrangements, strengthen rules in verified turtle-sensitive areas or set a broader standard. A defensible decision needs the local nesting season, an audit of existing lights, safety requirements and a way to monitor results.</w:t>
      </w:r>
    </w:p>
    <w:p>
      <w:pPr>
        <w:keepNext w:val="0"/>
        <w:spacing w:before="90" w:after="90" w:line="276" w:lineRule="auto"/>
        <w:shd w:fill="FFF4D6"/>
        <w:pBdr>
          <w:left w:val="single" w:sz="22" w:space="8" w:color="F2C14E"/>
        </w:pBdr>
      </w:pPr>
      <w:r>
        <w:rPr>
          <w:rFonts w:ascii="Calibri" w:hAnsi="Calibri"/>
          <w:b/>
          <w:color w:val="F2C14E"/>
          <w:sz w:val="21"/>
        </w:rPr>
        <w:t xml:space="preserve">Mark the text: </w:t>
      </w:r>
      <w:r>
        <w:rPr>
          <w:rFonts w:ascii="Calibri" w:hAnsi="Calibri"/>
          <w:color w:val="162A35"/>
          <w:sz w:val="21"/>
        </w:rPr>
        <w:t>E = turtle or lighting evidence   |   A = council action   |   V = a stakeholder value or concern   |   ? = more evidence or a boundary is needed</w:t>
      </w:r>
    </w:p>
    <w:p>
      <w:r>
        <w:br w:type="page"/>
      </w:r>
    </w:p>
    <w:p>
      <w:pPr>
        <w:pStyle w:val="Heading1"/>
        <w:keepNext/>
        <w:spacing w:before="180" w:after="100" w:line="240" w:lineRule="auto"/>
      </w:pPr>
      <w:r>
        <w:rPr>
          <w:rFonts w:ascii="Calibri" w:hAnsi="Calibri"/>
          <w:b/>
          <w:color w:val="10374F"/>
          <w:sz w:val="30"/>
        </w:rPr>
        <w:t>Safe light does not mean light everywhere</w:t>
      </w:r>
    </w:p>
    <w:p>
      <w:pPr>
        <w:keepNext w:val="0"/>
        <w:spacing w:before="0" w:after="80" w:line="276" w:lineRule="auto"/>
      </w:pPr>
      <w:r>
        <w:rPr>
          <w:rFonts w:ascii="Calibri" w:hAnsi="Calibri"/>
          <w:b w:val="0"/>
          <w:i w:val="0"/>
          <w:color w:val="162A35"/>
          <w:sz w:val="21"/>
        </w:rPr>
        <w:t>The Australian Government’s best-practice starting point is natural darkness, with light added only for a specific purpose. The guidance also recognises that artificial light supports human safety, amenity and work. Where those goals compete, councils and designers may need creative solutions that meet both safety and wildlife objectives.</w:t>
      </w:r>
    </w:p>
    <w:tbl>
      <w:tblPr>
        <w:tblStyle w:val="TableGrid"/>
        <w:tblW w:type="dxa" w:w="10178"/>
        <w:jc w:val="left"/>
        <w:tblLayout w:type="fixed"/>
        <w:tblLook w:firstColumn="1" w:firstRow="1" w:lastColumn="0" w:lastRow="0" w:noHBand="0" w:noVBand="1" w:val="04A0"/>
        <w:tblInd w:w="120" w:type="dxa"/>
      </w:tblPr>
      <w:tblGrid>
        <w:gridCol w:w="3300"/>
        <w:gridCol w:w="6878"/>
      </w:tblGrid>
      <w:tr>
        <w:trPr>
          <w:cantSplit/>
          <w:tblHeader w:val="true"/>
        </w:trPr>
        <w:tc>
          <w:tcPr>
            <w:tcW w:type="dxa" w:w="330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Lighting move</w:t>
            </w:r>
          </w:p>
        </w:tc>
        <w:tc>
          <w:tcPr>
            <w:tcW w:type="dxa" w:w="6878"/>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What it is designed to do</w:t>
            </w:r>
          </w:p>
        </w:tc>
      </w:tr>
      <w:tr>
        <w:tc>
          <w:tcPr>
            <w:tcW w:type="dxa" w:w="3300"/>
          </w:tcPr>
          <w:p>
            <w:pPr>
              <w:keepNext w:val="0"/>
              <w:spacing w:before="0" w:after="0" w:line="259" w:lineRule="auto"/>
            </w:pPr>
            <w:r/>
            <w:r>
              <w:rPr>
                <w:rFonts w:ascii="Calibri" w:hAnsi="Calibri"/>
                <w:b w:val="0"/>
                <w:color w:val="162A35"/>
                <w:sz w:val="18"/>
              </w:rPr>
              <w:t>Use light only where and when a task requires it.</w:t>
            </w:r>
          </w:p>
        </w:tc>
        <w:tc>
          <w:tcPr>
            <w:tcW w:type="dxa" w:w="6878"/>
          </w:tcPr>
          <w:p>
            <w:pPr>
              <w:keepNext w:val="0"/>
              <w:spacing w:before="0" w:after="0" w:line="259" w:lineRule="auto"/>
            </w:pPr>
            <w:r/>
            <w:r>
              <w:rPr>
                <w:rFonts w:ascii="Calibri" w:hAnsi="Calibri"/>
                <w:b w:val="0"/>
                <w:color w:val="162A35"/>
                <w:sz w:val="18"/>
              </w:rPr>
              <w:t>Avoid unnecessary light and reduce the time it operates.</w:t>
            </w:r>
          </w:p>
        </w:tc>
      </w:tr>
      <w:tr>
        <w:tc>
          <w:tcPr>
            <w:tcW w:type="dxa" w:w="3300"/>
            <w:shd w:fill="F7FAFB"/>
          </w:tcPr>
          <w:p>
            <w:pPr>
              <w:keepNext w:val="0"/>
              <w:spacing w:before="0" w:after="0" w:line="259" w:lineRule="auto"/>
            </w:pPr>
            <w:r/>
            <w:r>
              <w:rPr>
                <w:rFonts w:ascii="Calibri" w:hAnsi="Calibri"/>
                <w:b w:val="0"/>
                <w:color w:val="162A35"/>
                <w:sz w:val="18"/>
              </w:rPr>
              <w:t>Keep lights low, directed and shielded.</w:t>
            </w:r>
          </w:p>
        </w:tc>
        <w:tc>
          <w:tcPr>
            <w:tcW w:type="dxa" w:w="6878"/>
            <w:shd w:fill="F7FAFB"/>
          </w:tcPr>
          <w:p>
            <w:pPr>
              <w:keepNext w:val="0"/>
              <w:spacing w:before="0" w:after="0" w:line="259" w:lineRule="auto"/>
            </w:pPr>
            <w:r/>
            <w:r>
              <w:rPr>
                <w:rFonts w:ascii="Calibri" w:hAnsi="Calibri"/>
                <w:b w:val="0"/>
                <w:color w:val="162A35"/>
                <w:sz w:val="18"/>
              </w:rPr>
              <w:t>Light the intended path or doorway instead of the beach, ocean or sky.</w:t>
            </w:r>
          </w:p>
        </w:tc>
      </w:tr>
      <w:tr>
        <w:tc>
          <w:tcPr>
            <w:tcW w:type="dxa" w:w="3300"/>
          </w:tcPr>
          <w:p>
            <w:pPr>
              <w:keepNext w:val="0"/>
              <w:spacing w:before="0" w:after="0" w:line="259" w:lineRule="auto"/>
            </w:pPr>
            <w:r/>
            <w:r>
              <w:rPr>
                <w:rFonts w:ascii="Calibri" w:hAnsi="Calibri"/>
                <w:b w:val="0"/>
                <w:color w:val="162A35"/>
                <w:sz w:val="18"/>
              </w:rPr>
              <w:t>Use the lowest suitable intensity and adaptive controls.</w:t>
            </w:r>
          </w:p>
        </w:tc>
        <w:tc>
          <w:tcPr>
            <w:tcW w:type="dxa" w:w="6878"/>
          </w:tcPr>
          <w:p>
            <w:pPr>
              <w:keepNext w:val="0"/>
              <w:spacing w:before="0" w:after="0" w:line="259" w:lineRule="auto"/>
            </w:pPr>
            <w:r/>
            <w:r>
              <w:rPr>
                <w:rFonts w:ascii="Calibri" w:hAnsi="Calibri"/>
                <w:b w:val="0"/>
                <w:color w:val="162A35"/>
                <w:sz w:val="18"/>
              </w:rPr>
              <w:t>Meet the task while reducing excess brightness and duration.</w:t>
            </w:r>
          </w:p>
        </w:tc>
      </w:tr>
      <w:tr>
        <w:tc>
          <w:tcPr>
            <w:tcW w:type="dxa" w:w="3300"/>
            <w:shd w:fill="F7FAFB"/>
          </w:tcPr>
          <w:p>
            <w:pPr>
              <w:keepNext w:val="0"/>
              <w:spacing w:before="0" w:after="0" w:line="259" w:lineRule="auto"/>
            </w:pPr>
            <w:r/>
            <w:r>
              <w:rPr>
                <w:rFonts w:ascii="Calibri" w:hAnsi="Calibri"/>
                <w:b w:val="0"/>
                <w:color w:val="162A35"/>
                <w:sz w:val="18"/>
              </w:rPr>
              <w:t>Reduce blue, violet and ultraviolet wavelengths.</w:t>
            </w:r>
          </w:p>
        </w:tc>
        <w:tc>
          <w:tcPr>
            <w:tcW w:type="dxa" w:w="6878"/>
            <w:shd w:fill="F7FAFB"/>
          </w:tcPr>
          <w:p>
            <w:pPr>
              <w:keepNext w:val="0"/>
              <w:spacing w:before="0" w:after="0" w:line="259" w:lineRule="auto"/>
            </w:pPr>
            <w:r/>
            <w:r>
              <w:rPr>
                <w:rFonts w:ascii="Calibri" w:hAnsi="Calibri"/>
                <w:b w:val="0"/>
                <w:color w:val="162A35"/>
                <w:sz w:val="18"/>
              </w:rPr>
              <w:t>Use a spectrum generally less disruptive to turtles, alongside all other design measures.</w:t>
            </w:r>
          </w:p>
        </w:tc>
      </w:tr>
      <w:tr>
        <w:tc>
          <w:tcPr>
            <w:tcW w:type="dxa" w:w="3300"/>
          </w:tcPr>
          <w:p>
            <w:pPr>
              <w:keepNext w:val="0"/>
              <w:spacing w:before="0" w:after="0" w:line="259" w:lineRule="auto"/>
            </w:pPr>
            <w:r/>
            <w:r>
              <w:rPr>
                <w:rFonts w:ascii="Calibri" w:hAnsi="Calibri"/>
                <w:b w:val="0"/>
                <w:color w:val="162A35"/>
                <w:sz w:val="18"/>
              </w:rPr>
              <w:t>Audit and monitor.</w:t>
            </w:r>
          </w:p>
        </w:tc>
        <w:tc>
          <w:tcPr>
            <w:tcW w:type="dxa" w:w="6878"/>
          </w:tcPr>
          <w:p>
            <w:pPr>
              <w:keepNext w:val="0"/>
              <w:spacing w:before="0" w:after="0" w:line="259" w:lineRule="auto"/>
            </w:pPr>
            <w:r/>
            <w:r>
              <w:rPr>
                <w:rFonts w:ascii="Calibri" w:hAnsi="Calibri"/>
                <w:b w:val="0"/>
                <w:color w:val="162A35"/>
                <w:sz w:val="18"/>
              </w:rPr>
              <w:t>Check what turtles can see and improve the plan if light or behaviour outcomes are not acceptable.</w:t>
            </w:r>
          </w:p>
        </w:tc>
      </w:tr>
    </w:tbl>
    <w:p>
      <w:pPr>
        <w:keepNext w:val="0"/>
        <w:spacing w:before="0" w:after="40" w:line="276" w:lineRule="auto"/>
      </w:pPr>
    </w:p>
    <w:p>
      <w:pPr>
        <w:keepNext w:val="0"/>
        <w:spacing w:before="90" w:after="90" w:line="276" w:lineRule="auto"/>
        <w:shd w:fill="FFF4D6"/>
        <w:pBdr>
          <w:left w:val="single" w:sz="22" w:space="8" w:color="EF6F61"/>
        </w:pBdr>
      </w:pPr>
      <w:r>
        <w:rPr>
          <w:rFonts w:ascii="Calibri" w:hAnsi="Calibri"/>
          <w:b/>
          <w:color w:val="EF6F61"/>
          <w:sz w:val="21"/>
        </w:rPr>
        <w:t xml:space="preserve">Important: </w:t>
      </w:r>
      <w:r>
        <w:rPr>
          <w:rFonts w:ascii="Calibri" w:hAnsi="Calibri"/>
          <w:color w:val="162A35"/>
          <w:sz w:val="21"/>
        </w:rPr>
        <w:t>Changing a bulb to amber is not a complete solution. Need, intensity, direction, shielding, height, timing, reflective surfaces and local monitoring still matter.</w:t>
      </w:r>
    </w:p>
    <w:p>
      <w:pPr>
        <w:pStyle w:val="Heading1"/>
        <w:keepNext/>
        <w:spacing w:before="180" w:after="100" w:line="240" w:lineRule="auto"/>
      </w:pPr>
      <w:r>
        <w:rPr>
          <w:rFonts w:ascii="Calibri" w:hAnsi="Calibri"/>
          <w:b/>
          <w:color w:val="10374F"/>
          <w:sz w:val="30"/>
        </w:rPr>
        <w:t>One coast, several responsibilities</w:t>
      </w:r>
    </w:p>
    <w:p>
      <w:pPr>
        <w:keepNext w:val="0"/>
        <w:spacing w:before="0" w:after="80" w:line="276" w:lineRule="auto"/>
      </w:pPr>
      <w:r>
        <w:rPr>
          <w:rFonts w:ascii="Calibri" w:hAnsi="Calibri"/>
          <w:b w:val="0"/>
          <w:i w:val="0"/>
          <w:color w:val="162A35"/>
          <w:sz w:val="21"/>
        </w:rPr>
        <w:t>A turtle researcher may focus on nesting behaviour and hatchling sea-finding. A resident may focus on safe access to a home. A business operator may need clear retrofit requirements and time to make changes. A council officer must consider safety, planning, cost, enforcement and measurable outcomes. These viewpoints can produce different responses even when people share the goal of a safe, healthy coast.</w:t>
      </w:r>
    </w:p>
    <w:p>
      <w:pPr>
        <w:keepNext w:val="0"/>
        <w:spacing w:before="0" w:after="80" w:line="276" w:lineRule="auto"/>
      </w:pPr>
      <w:r>
        <w:rPr>
          <w:rFonts w:ascii="Calibri" w:hAnsi="Calibri"/>
          <w:b w:val="0"/>
          <w:i w:val="0"/>
          <w:color w:val="162A35"/>
          <w:sz w:val="21"/>
        </w:rPr>
        <w:t>Traditional Owners are not simply another interest group. They hold continuing rights, knowledge and responsibilities for caring for Land and Sea Country. Marine turtles have deep cultural importance for many coastal Aboriginal and Torres Strait Islander communities. A real council should identify and consult the culturally appropriate Traditional Owners for that place, and support ongoing co-management, monitoring and ranger work.</w:t>
      </w:r>
    </w:p>
    <w:p>
      <w:pPr>
        <w:pStyle w:val="Heading1"/>
        <w:keepNext/>
        <w:spacing w:before="180" w:after="100" w:line="240" w:lineRule="auto"/>
      </w:pPr>
      <w:r>
        <w:rPr>
          <w:rFonts w:ascii="Calibri" w:hAnsi="Calibri"/>
          <w:b/>
          <w:color w:val="10374F"/>
          <w:sz w:val="30"/>
        </w:rPr>
        <w:t>What the light pathway can — and cannot — show</w:t>
      </w:r>
    </w:p>
    <w:p>
      <w:pPr>
        <w:keepNext w:val="0"/>
        <w:spacing w:before="0" w:after="80" w:line="276" w:lineRule="auto"/>
      </w:pPr>
      <w:r>
        <w:rPr>
          <w:rFonts w:ascii="Calibri" w:hAnsi="Calibri"/>
          <w:b w:val="0"/>
          <w:i w:val="0"/>
          <w:color w:val="162A35"/>
          <w:sz w:val="21"/>
        </w:rPr>
        <w:t>A light pathway can organise a possible chain: a targeted council rule leads to lighting audits and redesign; less avoidable light reaches the beach; natural horizon cues may become clearer; and the risk of disturbance or disorientation may fall. The pathway is useful because it makes each link testable. It cannot calculate the exact number of turtles protected, represent every species or site, or replace local evidence.</w:t>
      </w:r>
    </w:p>
    <w:p>
      <w:pPr>
        <w:keepNext w:val="0"/>
        <w:spacing w:before="90" w:after="90" w:line="276" w:lineRule="auto"/>
        <w:shd w:fill="EAF7F4"/>
        <w:pBdr>
          <w:left w:val="single" w:sz="22" w:space="8" w:color="168C86"/>
        </w:pBdr>
      </w:pPr>
      <w:r>
        <w:rPr>
          <w:rFonts w:ascii="Calibri" w:hAnsi="Calibri"/>
          <w:b/>
          <w:color w:val="168C86"/>
          <w:sz w:val="21"/>
        </w:rPr>
        <w:t xml:space="preserve">Council writing challenge: </w:t>
      </w:r>
      <w:r>
        <w:rPr>
          <w:rFonts w:ascii="Calibri" w:hAnsi="Calibri"/>
          <w:color w:val="162A35"/>
          <w:sz w:val="21"/>
        </w:rPr>
        <w:t>Recommend an action, use three accurate evidence points, represent a concern fairly and state what your consequence pathway cannot prove.</w:t>
      </w:r>
    </w:p>
    <w:p>
      <w:pPr>
        <w:pStyle w:val="Heading2"/>
        <w:keepNext/>
        <w:spacing w:before="140" w:after="80" w:line="240" w:lineRule="auto"/>
      </w:pPr>
      <w:r>
        <w:rPr>
          <w:rFonts w:ascii="Calibri" w:hAnsi="Calibri"/>
          <w:b/>
          <w:color w:val="168C86"/>
          <w:sz w:val="25"/>
        </w:rPr>
        <w:t>Source trail</w:t>
      </w:r>
    </w:p>
    <w:p>
      <w:pPr>
        <w:pStyle w:val="ListNumber"/>
        <w:keepNext w:val="0"/>
        <w:spacing w:before="0" w:after="20" w:line="240" w:lineRule="auto"/>
      </w:pPr>
      <w:r>
        <w:rPr>
          <w:rFonts w:ascii="Calibri" w:hAnsi="Calibri"/>
          <w:b w:val="0"/>
          <w:i w:val="0"/>
          <w:color w:val="162A35"/>
          <w:sz w:val="17"/>
        </w:rPr>
        <w:t>Australian Government — National Light Pollution Guidelines for Wildlife (2023).</w:t>
      </w:r>
    </w:p>
    <w:p>
      <w:pPr>
        <w:pStyle w:val="ListNumber"/>
        <w:keepNext w:val="0"/>
        <w:spacing w:before="0" w:after="20" w:line="240" w:lineRule="auto"/>
      </w:pPr>
      <w:r>
        <w:rPr>
          <w:rFonts w:ascii="Calibri" w:hAnsi="Calibri"/>
          <w:b w:val="0"/>
          <w:i w:val="0"/>
          <w:color w:val="162A35"/>
          <w:sz w:val="17"/>
        </w:rPr>
        <w:t>Queensland Government — Cut the Glow to help Turtles Go; marine turtle biology and conservation; sea turtle nesting area mapping.</w:t>
      </w:r>
    </w:p>
    <w:p>
      <w:pPr>
        <w:pStyle w:val="ListNumber"/>
        <w:keepNext w:val="0"/>
        <w:spacing w:before="0" w:after="20" w:line="240" w:lineRule="auto"/>
      </w:pPr>
      <w:r>
        <w:rPr>
          <w:rFonts w:ascii="Calibri" w:hAnsi="Calibri"/>
          <w:b w:val="0"/>
          <w:i w:val="0"/>
          <w:color w:val="162A35"/>
          <w:sz w:val="17"/>
        </w:rPr>
        <w:t>Queensland planning guidance — Sea Turtle Sensitive Area Model Code.</w:t>
      </w:r>
    </w:p>
    <w:p>
      <w:pPr>
        <w:pStyle w:val="ListNumber"/>
        <w:keepNext w:val="0"/>
        <w:spacing w:before="0" w:after="20" w:line="240" w:lineRule="auto"/>
      </w:pPr>
      <w:r>
        <w:rPr>
          <w:rFonts w:ascii="Calibri" w:hAnsi="Calibri"/>
          <w:b w:val="0"/>
          <w:i w:val="0"/>
          <w:color w:val="162A35"/>
          <w:sz w:val="17"/>
        </w:rPr>
        <w:t>Australian Government — Recovery Plan for Marine Turtles in Australia 2017–2027.</w:t>
      </w:r>
    </w:p>
    <w:p>
      <w:pPr>
        <w:pStyle w:val="ListNumber"/>
        <w:keepNext w:val="0"/>
        <w:spacing w:before="0" w:after="20" w:line="240" w:lineRule="auto"/>
      </w:pPr>
      <w:r>
        <w:rPr>
          <w:rFonts w:ascii="Calibri" w:hAnsi="Calibri"/>
          <w:b w:val="0"/>
          <w:i w:val="0"/>
          <w:color w:val="162A35"/>
          <w:sz w:val="17"/>
        </w:rPr>
        <w:t>Great Barrier Reef Marine Park Authority — Traditional Use of Marine Resources Agreements.</w:t>
      </w:r>
    </w:p>
    <w:p>
      <w:pPr>
        <w:keepNext w:val="0"/>
        <w:spacing w:before="0" w:after="0" w:line="240" w:lineRule="auto"/>
      </w:pPr>
      <w:r>
        <w:rPr>
          <w:rFonts w:ascii="Calibri" w:hAnsi="Calibri"/>
          <w:b w:val="0"/>
          <w:i/>
          <w:color w:val="526873"/>
          <w:sz w:val="16"/>
        </w:rPr>
        <w:t>This article is an original classroom synthesis. Full links and teacher accuracy notes are in the Teacher Guide. Facts checked 29 July 2026.</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526873"/>
        <w:sz w:val="15"/>
      </w:rPr>
      <w:t>Student Reading Pack  |  Turtle-Safe Nights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526873"/>
        <w:sz w:val="15"/>
      </w:rPr>
      <w:t>ENGLISH UNIT 3  |  LESSON 17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16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10374F"/>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168C86"/>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1037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