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C77D18"/>
          <w:sz w:val="18"/>
        </w:rPr>
        <w:t>WEEK 1 | GROUP JIGSAW</w:t>
      </w:r>
    </w:p>
    <w:p>
      <w:pPr>
        <w:pStyle w:val="Title"/>
        <w:spacing w:after="80"/>
      </w:pPr>
      <w:r>
        <w:rPr>
          <w:rFonts w:ascii="Calibri" w:hAnsi="Calibri"/>
          <w:b/>
          <w:i w:val="0"/>
          <w:color w:val="17324D"/>
          <w:sz w:val="54"/>
        </w:rPr>
        <w:t>Cultural activity evidence cards</w:t>
      </w:r>
    </w:p>
    <w:p>
      <w:pPr>
        <w:pStyle w:val="Subtitle"/>
      </w:pPr>
      <w:r>
        <w:rPr>
          <w:rFonts w:ascii="Calibri" w:hAnsi="Calibri"/>
          <w:b w:val="0"/>
          <w:i w:val="0"/>
          <w:color w:val="52606D"/>
          <w:sz w:val="26"/>
        </w:rPr>
        <w:t>Read closely. Prepare a 30-second briefing: origin, movement, one community value and one fact that must be said carefully.</w:t>
      </w:r>
    </w:p>
    <w:tbl>
      <w:tblPr>
        <w:tblW w:type="dxa" w:w="9360"/>
        <w:jc w:val="center"/>
        <w:tblLayout w:type="fixed"/>
        <w:tblLook w:firstColumn="1" w:firstRow="1" w:lastColumn="0" w:lastRow="0" w:noHBand="0" w:noVBand="1" w:val="04A0"/>
        <w:tblInd w:w="120" w:type="dxa"/>
        <w:tblBorders>
          <w:top w:val="single" w:sz="8" w:color="007C83"/>
          <w:left w:val="single" w:sz="8" w:color="007C83"/>
          <w:bottom w:val="single" w:sz="8" w:color="007C83"/>
          <w:right w:val="single" w:sz="8" w:color="007C83"/>
          <w:insideH w:val="single" w:sz="8" w:color="007C83"/>
          <w:insideV w:val="single" w:sz="8" w:color="007C83"/>
        </w:tblBorders>
      </w:tblPr>
      <w:tblGrid>
        <w:gridCol w:w="3120"/>
        <w:gridCol w:w="3120"/>
        <w:gridCol w:w="3120"/>
      </w:tblGrid>
      <w:tr>
        <w:tc>
          <w:tcPr>
            <w:tcW w:type="dxa" w:w="3120"/>
            <w:tcMar>
              <w:top w:w="90" w:type="dxa"/>
              <w:start w:w="120" w:type="dxa"/>
              <w:bottom w:w="90" w:type="dxa"/>
              <w:end w:w="120" w:type="dxa"/>
            </w:tcMar>
            <w:vAlign w:val="center"/>
            <w:shd w:fill="DDF3F1"/>
          </w:tcPr>
          <w:p>
            <w:pPr>
              <w:spacing w:after="0"/>
              <w:jc w:val="center"/>
            </w:pPr>
            <w:r>
              <w:rPr>
                <w:rFonts w:ascii="Calibri" w:hAnsi="Calibri"/>
                <w:b/>
                <w:i w:val="0"/>
                <w:color w:val="007C83"/>
                <w:sz w:val="15"/>
              </w:rPr>
              <w:t>GROUPS</w:t>
              <w:br/>
            </w:r>
            <w:r>
              <w:rPr>
                <w:rFonts w:ascii="Calibri" w:hAnsi="Calibri"/>
                <w:b/>
                <w:i w:val="0"/>
                <w:color w:val="17324D"/>
                <w:sz w:val="21"/>
              </w:rPr>
              <w:t>5</w:t>
            </w:r>
          </w:p>
        </w:tc>
        <w:tc>
          <w:tcPr>
            <w:tcW w:type="dxa" w:w="3120"/>
            <w:tcMar>
              <w:top w:w="90" w:type="dxa"/>
              <w:start w:w="120" w:type="dxa"/>
              <w:bottom w:w="90" w:type="dxa"/>
              <w:end w:w="120" w:type="dxa"/>
            </w:tcMar>
            <w:vAlign w:val="center"/>
            <w:shd w:fill="F4F7F8"/>
          </w:tcPr>
          <w:p>
            <w:pPr>
              <w:spacing w:after="0"/>
              <w:jc w:val="center"/>
            </w:pPr>
            <w:r>
              <w:rPr>
                <w:rFonts w:ascii="Calibri" w:hAnsi="Calibri"/>
                <w:b/>
                <w:i w:val="0"/>
                <w:color w:val="007C83"/>
                <w:sz w:val="15"/>
              </w:rPr>
              <w:t>BRIEFING</w:t>
              <w:br/>
            </w:r>
            <w:r>
              <w:rPr>
                <w:rFonts w:ascii="Calibri" w:hAnsi="Calibri"/>
                <w:b/>
                <w:i w:val="0"/>
                <w:color w:val="17324D"/>
                <w:sz w:val="21"/>
              </w:rPr>
              <w:t>30 sec</w:t>
            </w:r>
          </w:p>
        </w:tc>
        <w:tc>
          <w:tcPr>
            <w:tcW w:type="dxa" w:w="3120"/>
            <w:tcMar>
              <w:top w:w="90" w:type="dxa"/>
              <w:start w:w="120" w:type="dxa"/>
              <w:bottom w:w="90" w:type="dxa"/>
              <w:end w:w="120" w:type="dxa"/>
            </w:tcMar>
            <w:vAlign w:val="center"/>
            <w:shd w:fill="DDF3F1"/>
          </w:tcPr>
          <w:p>
            <w:pPr>
              <w:spacing w:after="0"/>
              <w:jc w:val="center"/>
            </w:pPr>
            <w:r>
              <w:rPr>
                <w:rFonts w:ascii="Calibri" w:hAnsi="Calibri"/>
                <w:b/>
                <w:i w:val="0"/>
                <w:color w:val="007C83"/>
                <w:sz w:val="15"/>
              </w:rPr>
              <w:t>PURPOSE</w:t>
              <w:br/>
            </w:r>
            <w:r>
              <w:rPr>
                <w:rFonts w:ascii="Calibri" w:hAnsi="Calibri"/>
                <w:b/>
                <w:i w:val="0"/>
                <w:color w:val="17324D"/>
                <w:sz w:val="21"/>
              </w:rPr>
              <w:t>compare + connect</w:t>
            </w:r>
          </w:p>
        </w:tc>
      </w:tr>
    </w:tbl>
    <w:p>
      <w:pPr>
        <w:spacing w:after="0"/>
      </w:pPr>
    </w:p>
    <w:tbl>
      <w:tblPr>
        <w:tblW w:type="dxa" w:w="9360"/>
        <w:tblLayout w:type="fixed"/>
        <w:tblLook w:firstColumn="1" w:firstRow="1" w:lastColumn="0" w:lastRow="0" w:noHBand="0" w:noVBand="1" w:val="04A0"/>
        <w:tblInd w:w="120" w:type="dxa"/>
        <w:tblBorders>
          <w:top w:val="single" w:sz="10" w:color="C77D18"/>
          <w:left w:val="single" w:sz="10" w:color="C77D18"/>
          <w:bottom w:val="single" w:sz="10" w:color="C77D18"/>
          <w:right w:val="single" w:sz="10" w:color="C77D18"/>
        </w:tblBorders>
      </w:tblPr>
      <w:tblGrid>
        <w:gridCol w:w="9360"/>
      </w:tblGrid>
      <w:tr>
        <w:tc>
          <w:tcPr>
            <w:tcW w:type="dxa" w:w="9360"/>
            <w:tcMar>
              <w:top w:w="90" w:type="dxa"/>
              <w:start w:w="120" w:type="dxa"/>
              <w:bottom w:w="90" w:type="dxa"/>
              <w:end w:w="120" w:type="dxa"/>
            </w:tcMar>
            <w:vAlign w:val="center"/>
            <w:shd w:fill="FFF1D8"/>
          </w:tcPr>
          <w:p>
            <w:pPr>
              <w:spacing w:after="0"/>
            </w:pPr>
            <w:r>
              <w:rPr>
                <w:rFonts w:ascii="Calibri" w:hAnsi="Calibri"/>
                <w:b/>
                <w:i w:val="0"/>
                <w:color w:val="C77D18"/>
                <w:sz w:val="18"/>
              </w:rPr>
              <w:t xml:space="preserve">TEACHER NOTE  </w:t>
            </w:r>
            <w:r>
              <w:rPr>
                <w:rFonts w:ascii="Calibri" w:hAnsi="Calibri"/>
                <w:b w:val="0"/>
                <w:i w:val="0"/>
                <w:color w:val="18242F"/>
                <w:sz w:val="21"/>
              </w:rPr>
              <w:t>These are concise classroom summaries, not substitutes for local cultural authority. The Yulunga games are researched and adapted school versions. Follow local protocols and, where practical, inform or invite local Elders or First Nations groups.</w:t>
            </w:r>
          </w:p>
        </w:tc>
      </w:tr>
    </w:tbl>
    <w:p>
      <w:pPr>
        <w:spacing w:after="0"/>
      </w:pPr>
    </w:p>
    <w:p>
      <w:pPr>
        <w:pStyle w:val="Heading1"/>
      </w:pPr>
      <w:r>
        <w:t>Jigsaw roles</w:t>
      </w:r>
    </w:p>
    <w:tbl>
      <w:tblPr>
        <w:tblW w:type="dxa" w:w="9360"/>
        <w:tblLayout w:type="fixed"/>
        <w:tblLook w:firstColumn="1" w:firstRow="1" w:lastColumn="0" w:lastRow="0" w:noHBand="0" w:noVBand="1" w:val="04A0"/>
        <w:tblInd w:w="120" w:type="dxa"/>
        <w:tblBorders>
          <w:top w:val="single" w:sz="6" w:color="CBD5DC"/>
          <w:left w:val="single" w:sz="6" w:color="CBD5DC"/>
          <w:bottom w:val="single" w:sz="6" w:color="CBD5DC"/>
          <w:right w:val="single" w:sz="6" w:color="CBD5DC"/>
          <w:insideH w:val="single" w:sz="6" w:color="CBD5DC"/>
          <w:insideV w:val="single" w:sz="6" w:color="CBD5DC"/>
        </w:tblBorders>
      </w:tblPr>
      <w:tblGrid>
        <w:gridCol w:w="1900"/>
        <w:gridCol w:w="7460"/>
      </w:tblGrid>
      <w:tr>
        <w:trPr>
          <w:tblHeader w:val="true"/>
        </w:trPr>
        <w:tc>
          <w:tcPr>
            <w:tcW w:type="dxa" w:w="1900"/>
            <w:tcMar>
              <w:top w:w="90" w:type="dxa"/>
              <w:start w:w="120" w:type="dxa"/>
              <w:bottom w:w="90" w:type="dxa"/>
              <w:end w:w="120" w:type="dxa"/>
            </w:tcMar>
            <w:vAlign w:val="center"/>
            <w:shd w:fill="17324D"/>
          </w:tcPr>
          <w:p>
            <w:r>
              <w:rPr>
                <w:rFonts w:ascii="Calibri" w:hAnsi="Calibri"/>
                <w:b/>
                <w:i w:val="0"/>
                <w:color w:val="FFFFFF"/>
                <w:sz w:val="18"/>
              </w:rPr>
              <w:t>Role</w:t>
            </w:r>
          </w:p>
        </w:tc>
        <w:tc>
          <w:tcPr>
            <w:tcW w:type="dxa" w:w="7460"/>
            <w:tcMar>
              <w:top w:w="90" w:type="dxa"/>
              <w:start w:w="120" w:type="dxa"/>
              <w:bottom w:w="90" w:type="dxa"/>
              <w:end w:w="120" w:type="dxa"/>
            </w:tcMar>
            <w:vAlign w:val="center"/>
            <w:shd w:fill="17324D"/>
          </w:tcPr>
          <w:p>
            <w:r>
              <w:rPr>
                <w:rFonts w:ascii="Calibri" w:hAnsi="Calibri"/>
                <w:b/>
                <w:i w:val="0"/>
                <w:color w:val="FFFFFF"/>
                <w:sz w:val="18"/>
              </w:rPr>
              <w:t>Job</w:t>
            </w:r>
          </w:p>
        </w:tc>
      </w:tr>
      <w:tr>
        <w:tc>
          <w:tcPr>
            <w:tcW w:type="dxa" w:w="1900"/>
          </w:tcPr>
          <w:p>
            <w:r>
              <w:rPr>
                <w:rFonts w:ascii="Calibri" w:hAnsi="Calibri"/>
                <w:b/>
                <w:i w:val="0"/>
                <w:color w:val="007C83"/>
                <w:sz w:val="19"/>
              </w:rPr>
              <w:t>Reader</w:t>
            </w:r>
          </w:p>
        </w:tc>
        <w:tc>
          <w:tcPr>
            <w:tcW w:type="dxa" w:w="7460"/>
          </w:tcPr>
          <w:p>
            <w:r>
              <w:rPr>
                <w:rFonts w:ascii="Calibri" w:hAnsi="Calibri"/>
                <w:b w:val="0"/>
                <w:i w:val="0"/>
                <w:color w:val="18242F"/>
                <w:sz w:val="19"/>
              </w:rPr>
              <w:t>reads every section aloud</w:t>
            </w:r>
          </w:p>
        </w:tc>
      </w:tr>
      <w:tr>
        <w:tc>
          <w:tcPr>
            <w:tcW w:type="dxa" w:w="1900"/>
          </w:tcPr>
          <w:p>
            <w:r>
              <w:rPr>
                <w:rFonts w:ascii="Calibri" w:hAnsi="Calibri"/>
                <w:b/>
                <w:i w:val="0"/>
                <w:color w:val="007C83"/>
                <w:sz w:val="19"/>
              </w:rPr>
              <w:t>Evidence finder</w:t>
            </w:r>
          </w:p>
        </w:tc>
        <w:tc>
          <w:tcPr>
            <w:tcW w:type="dxa" w:w="7460"/>
          </w:tcPr>
          <w:p>
            <w:r>
              <w:rPr>
                <w:rFonts w:ascii="Calibri" w:hAnsi="Calibri"/>
                <w:b w:val="0"/>
                <w:i w:val="0"/>
                <w:color w:val="18242F"/>
                <w:sz w:val="19"/>
              </w:rPr>
              <w:t>underlines origin and movement facts</w:t>
            </w:r>
          </w:p>
        </w:tc>
      </w:tr>
      <w:tr>
        <w:tc>
          <w:tcPr>
            <w:tcW w:type="dxa" w:w="1900"/>
          </w:tcPr>
          <w:p>
            <w:r>
              <w:rPr>
                <w:rFonts w:ascii="Calibri" w:hAnsi="Calibri"/>
                <w:b/>
                <w:i w:val="0"/>
                <w:color w:val="007C83"/>
                <w:sz w:val="19"/>
              </w:rPr>
              <w:t>Respect checker</w:t>
            </w:r>
          </w:p>
        </w:tc>
        <w:tc>
          <w:tcPr>
            <w:tcW w:type="dxa" w:w="7460"/>
          </w:tcPr>
          <w:p>
            <w:r>
              <w:rPr>
                <w:rFonts w:ascii="Calibri" w:hAnsi="Calibri"/>
                <w:b w:val="0"/>
                <w:i w:val="0"/>
                <w:color w:val="18242F"/>
                <w:sz w:val="19"/>
              </w:rPr>
              <w:t>identifies the fact that must be said carefully</w:t>
            </w:r>
          </w:p>
        </w:tc>
      </w:tr>
      <w:tr>
        <w:tc>
          <w:tcPr>
            <w:tcW w:type="dxa" w:w="1900"/>
          </w:tcPr>
          <w:p>
            <w:r>
              <w:rPr>
                <w:rFonts w:ascii="Calibri" w:hAnsi="Calibri"/>
                <w:b/>
                <w:i w:val="0"/>
                <w:color w:val="007C83"/>
                <w:sz w:val="19"/>
              </w:rPr>
              <w:t>Connector</w:t>
            </w:r>
          </w:p>
        </w:tc>
        <w:tc>
          <w:tcPr>
            <w:tcW w:type="dxa" w:w="7460"/>
          </w:tcPr>
          <w:p>
            <w:r>
              <w:rPr>
                <w:rFonts w:ascii="Calibri" w:hAnsi="Calibri"/>
                <w:b w:val="0"/>
                <w:i w:val="0"/>
                <w:color w:val="18242F"/>
                <w:sz w:val="19"/>
              </w:rPr>
              <w:t>links the activity to participation, belonging or wellbeing</w:t>
            </w:r>
          </w:p>
        </w:tc>
      </w:tr>
      <w:tr>
        <w:tc>
          <w:tcPr>
            <w:tcW w:type="dxa" w:w="1900"/>
          </w:tcPr>
          <w:p>
            <w:r>
              <w:rPr>
                <w:rFonts w:ascii="Calibri" w:hAnsi="Calibri"/>
                <w:b/>
                <w:i w:val="0"/>
                <w:color w:val="007C83"/>
                <w:sz w:val="19"/>
              </w:rPr>
              <w:t>Reporter</w:t>
            </w:r>
          </w:p>
        </w:tc>
        <w:tc>
          <w:tcPr>
            <w:tcW w:type="dxa" w:w="7460"/>
          </w:tcPr>
          <w:p>
            <w:r>
              <w:rPr>
                <w:rFonts w:ascii="Calibri" w:hAnsi="Calibri"/>
                <w:b w:val="0"/>
                <w:i w:val="0"/>
                <w:color w:val="18242F"/>
                <w:sz w:val="19"/>
              </w:rPr>
              <w:t>delivers the 30-second briefing</w:t>
            </w:r>
          </w:p>
        </w:tc>
      </w:tr>
    </w:tbl>
    <w:p>
      <w:r>
        <w:br w:type="page"/>
      </w:r>
    </w:p>
    <w:tbl>
      <w:tblPr>
        <w:tblW w:type="dxa" w:w="9360"/>
        <w:tblLayout w:type="fixed"/>
        <w:tblLook w:firstColumn="1" w:firstRow="1" w:lastColumn="0" w:lastRow="0" w:noHBand="0" w:noVBand="1" w:val="04A0"/>
        <w:tblInd w:w="120" w:type="dxa"/>
        <w:tblBorders>
          <w:top w:val="single" w:sz="14" w:color="007C83"/>
          <w:left w:val="single" w:sz="14" w:color="007C83"/>
          <w:bottom w:val="single" w:sz="14" w:color="007C83"/>
          <w:right w:val="single" w:sz="14" w:color="007C83"/>
        </w:tblBorders>
      </w:tblPr>
      <w:tblGrid>
        <w:gridCol w:w="9360"/>
      </w:tblGrid>
      <w:tr>
        <w:tc>
          <w:tcPr>
            <w:tcW w:type="dxa" w:w="9360"/>
            <w:tcMar>
              <w:top w:w="90" w:type="dxa"/>
              <w:start w:w="120" w:type="dxa"/>
              <w:bottom w:w="90" w:type="dxa"/>
              <w:end w:w="120" w:type="dxa"/>
            </w:tcMar>
            <w:vAlign w:val="center"/>
            <w:shd w:fill="F4F7F8"/>
          </w:tcPr>
          <w:p>
            <w:pPr>
              <w:spacing w:after="40"/>
            </w:pPr>
            <w:r>
              <w:rPr>
                <w:rFonts w:ascii="Calibri" w:hAnsi="Calibri"/>
                <w:b/>
                <w:i w:val="0"/>
                <w:color w:val="17324D"/>
                <w:sz w:val="42"/>
              </w:rPr>
              <w:t>Dabi</w:t>
            </w:r>
          </w:p>
          <w:p>
            <w:pPr>
              <w:spacing w:after="160"/>
            </w:pPr>
            <w:r>
              <w:rPr>
                <w:rFonts w:ascii="Calibri" w:hAnsi="Calibri"/>
                <w:b/>
                <w:i w:val="0"/>
                <w:color w:val="C77D18"/>
                <w:sz w:val="18"/>
              </w:rPr>
              <w:t>TORRES STRAIT ISLANDS</w:t>
            </w:r>
          </w:p>
          <w:p>
            <w:pPr>
              <w:spacing w:before="80" w:after="40"/>
            </w:pPr>
            <w:r>
              <w:rPr>
                <w:rFonts w:ascii="Calibri" w:hAnsi="Calibri"/>
                <w:b/>
                <w:i w:val="0"/>
                <w:color w:val="007C83"/>
                <w:sz w:val="18"/>
              </w:rPr>
              <w:t>SOURCE STORY</w:t>
            </w:r>
          </w:p>
          <w:p>
            <w:pPr>
              <w:spacing w:after="100"/>
            </w:pPr>
            <w:r>
              <w:rPr>
                <w:rFonts w:ascii="Calibri" w:hAnsi="Calibri"/>
                <w:b w:val="0"/>
                <w:i w:val="0"/>
                <w:color w:val="18242F"/>
                <w:sz w:val="19"/>
              </w:rPr>
              <w:t>Dabi is a school-practice version of kokan, a hockey-type game played on Mabuiag Island in the Torres Strait. The name refers to the rough bamboo bat or club used with the kokan (ball).</w:t>
            </w:r>
          </w:p>
          <w:p>
            <w:pPr>
              <w:spacing w:before="80" w:after="40"/>
            </w:pPr>
            <w:r>
              <w:rPr>
                <w:rFonts w:ascii="Calibri" w:hAnsi="Calibri"/>
                <w:b/>
                <w:i w:val="0"/>
                <w:color w:val="007C83"/>
                <w:sz w:val="18"/>
              </w:rPr>
              <w:t>HOW PEOPLE MOVE</w:t>
            </w:r>
          </w:p>
          <w:p>
            <w:pPr>
              <w:spacing w:after="100"/>
            </w:pPr>
            <w:r>
              <w:rPr>
                <w:rFonts w:ascii="Calibri" w:hAnsi="Calibri"/>
                <w:b w:val="0"/>
                <w:i w:val="0"/>
                <w:color w:val="18242F"/>
                <w:sz w:val="19"/>
              </w:rPr>
              <w:t>Teams use hockey or unihoc sticks to control and pass a soft ball. A player normally uses one touch to control and a second to pass. The activity is continuous rather than focused on scoring.</w:t>
            </w:r>
          </w:p>
          <w:p>
            <w:pPr>
              <w:spacing w:before="80" w:after="40"/>
            </w:pPr>
            <w:r>
              <w:rPr>
                <w:rFonts w:ascii="Calibri" w:hAnsi="Calibri"/>
                <w:b/>
                <w:i w:val="0"/>
                <w:color w:val="007C83"/>
                <w:sz w:val="18"/>
              </w:rPr>
              <w:t>WHAT PEOPLE DO TOGETHER</w:t>
            </w:r>
          </w:p>
          <w:p>
            <w:pPr>
              <w:spacing w:after="100"/>
            </w:pPr>
            <w:r>
              <w:rPr>
                <w:rFonts w:ascii="Calibri" w:hAnsi="Calibri"/>
                <w:b w:val="0"/>
                <w:i w:val="0"/>
                <w:color w:val="18242F"/>
                <w:sz w:val="19"/>
              </w:rPr>
              <w:t>Players need accurate passing, awareness of others, self-control and shared safety rules.</w:t>
            </w:r>
          </w:p>
          <w:p>
            <w:pPr>
              <w:spacing w:before="80" w:after="40"/>
            </w:pPr>
            <w:r>
              <w:rPr>
                <w:rFonts w:ascii="Calibri" w:hAnsi="Calibri"/>
                <w:b/>
                <w:i w:val="0"/>
                <w:color w:val="B64C3B"/>
                <w:sz w:val="18"/>
              </w:rPr>
              <w:t>SAY IT CAREFULLY</w:t>
            </w:r>
          </w:p>
          <w:p>
            <w:pPr>
              <w:spacing w:after="100"/>
            </w:pPr>
            <w:r>
              <w:rPr>
                <w:rFonts w:ascii="Calibri" w:hAnsi="Calibri"/>
                <w:b w:val="0"/>
                <w:i w:val="0"/>
                <w:color w:val="18242F"/>
                <w:sz w:val="19"/>
              </w:rPr>
              <w:t>Use soft equipment. Keep sticks below waist height and the ball below knee height. Call this an adapted school version and name Mabuiag Island rather than saying it represents all Torres Strait Islander cultures.</w:t>
            </w:r>
          </w:p>
          <w:p>
            <w:pPr>
              <w:spacing w:before="80" w:after="0"/>
            </w:pPr>
            <w:r>
              <w:rPr>
                <w:rFonts w:ascii="Calibri" w:hAnsi="Calibri"/>
                <w:b/>
                <w:i w:val="0"/>
                <w:color w:val="C77D18"/>
                <w:sz w:val="18"/>
              </w:rPr>
              <w:t xml:space="preserve">GROUP THINKING PROMPT  </w:t>
            </w:r>
            <w:r>
              <w:rPr>
                <w:rFonts w:ascii="Calibri" w:hAnsi="Calibri"/>
                <w:b/>
                <w:i w:val="0"/>
                <w:color w:val="17324D"/>
                <w:sz w:val="19"/>
              </w:rPr>
              <w:t>How could a continuous passing activity include beginners while still challenging experienced players?</w:t>
            </w:r>
          </w:p>
        </w:tc>
      </w:tr>
    </w:tbl>
    <w:p>
      <w:pPr>
        <w:spacing w:after="40"/>
      </w:pPr>
    </w:p>
    <w:p>
      <w:pPr>
        <w:spacing w:before="100"/>
      </w:pPr>
      <w:r>
        <w:rPr>
          <w:rFonts w:ascii="Calibri" w:hAnsi="Calibri"/>
          <w:b/>
          <w:i w:val="0"/>
          <w:color w:val="52606D"/>
          <w:sz w:val="16"/>
        </w:rPr>
        <w:t xml:space="preserve">SOURCE  </w:t>
      </w:r>
      <w:hyperlink r:id="rId11">
        <w:r>
          <w:rPr>
            <w:color w:val="007C83"/>
            <w:u w:val="single"/>
          </w:rPr>
          <w:t>Australian Sports Commission - Yulunga</w:t>
        </w:r>
      </w:hyperlink>
    </w:p>
    <w:p>
      <w:r>
        <w:br w:type="page"/>
      </w:r>
    </w:p>
    <w:tbl>
      <w:tblPr>
        <w:tblW w:type="dxa" w:w="9360"/>
        <w:tblLayout w:type="fixed"/>
        <w:tblLook w:firstColumn="1" w:firstRow="1" w:lastColumn="0" w:lastRow="0" w:noHBand="0" w:noVBand="1" w:val="04A0"/>
        <w:tblInd w:w="120" w:type="dxa"/>
        <w:tblBorders>
          <w:top w:val="single" w:sz="14" w:color="007C83"/>
          <w:left w:val="single" w:sz="14" w:color="007C83"/>
          <w:bottom w:val="single" w:sz="14" w:color="007C83"/>
          <w:right w:val="single" w:sz="14" w:color="007C83"/>
        </w:tblBorders>
      </w:tblPr>
      <w:tblGrid>
        <w:gridCol w:w="9360"/>
      </w:tblGrid>
      <w:tr>
        <w:tc>
          <w:tcPr>
            <w:tcW w:type="dxa" w:w="9360"/>
            <w:tcMar>
              <w:top w:w="90" w:type="dxa"/>
              <w:start w:w="120" w:type="dxa"/>
              <w:bottom w:w="90" w:type="dxa"/>
              <w:end w:w="120" w:type="dxa"/>
            </w:tcMar>
            <w:vAlign w:val="center"/>
            <w:shd w:fill="F4F7F8"/>
          </w:tcPr>
          <w:p>
            <w:pPr>
              <w:spacing w:after="40"/>
            </w:pPr>
            <w:r>
              <w:rPr>
                <w:rFonts w:ascii="Calibri" w:hAnsi="Calibri"/>
                <w:b/>
                <w:i w:val="0"/>
                <w:color w:val="17324D"/>
                <w:sz w:val="42"/>
              </w:rPr>
              <w:t>Edor</w:t>
            </w:r>
          </w:p>
          <w:p>
            <w:pPr>
              <w:spacing w:after="160"/>
            </w:pPr>
            <w:r>
              <w:rPr>
                <w:rFonts w:ascii="Calibri" w:hAnsi="Calibri"/>
                <w:b/>
                <w:i w:val="0"/>
                <w:color w:val="C77D18"/>
                <w:sz w:val="18"/>
              </w:rPr>
              <w:t>AURUKUN, NORTH QUEENSLAND</w:t>
            </w:r>
          </w:p>
          <w:p>
            <w:pPr>
              <w:spacing w:before="80" w:after="40"/>
            </w:pPr>
            <w:r>
              <w:rPr>
                <w:rFonts w:ascii="Calibri" w:hAnsi="Calibri"/>
                <w:b/>
                <w:i w:val="0"/>
                <w:color w:val="007C83"/>
                <w:sz w:val="18"/>
              </w:rPr>
              <w:t>SOURCE STORY</w:t>
            </w:r>
          </w:p>
          <w:p>
            <w:pPr>
              <w:spacing w:after="100"/>
            </w:pPr>
            <w:r>
              <w:rPr>
                <w:rFonts w:ascii="Calibri" w:hAnsi="Calibri"/>
                <w:b w:val="0"/>
                <w:i w:val="0"/>
                <w:color w:val="18242F"/>
                <w:sz w:val="19"/>
              </w:rPr>
              <w:t>Edor is a goal-orientated chasing-and-tagging game from the Aurukun Aboriginal community. The name is used in north Queensland and Torres Strait regions; the Yulunga account recognises Aunty Cathy, an Aurukun Elder and school teacher aide, as an authority for the game.</w:t>
            </w:r>
          </w:p>
          <w:p>
            <w:pPr>
              <w:spacing w:before="80" w:after="40"/>
            </w:pPr>
            <w:r>
              <w:rPr>
                <w:rFonts w:ascii="Calibri" w:hAnsi="Calibri"/>
                <w:b/>
                <w:i w:val="0"/>
                <w:color w:val="007C83"/>
                <w:sz w:val="18"/>
              </w:rPr>
              <w:t>HOW PEOPLE MOVE</w:t>
            </w:r>
          </w:p>
          <w:p>
            <w:pPr>
              <w:spacing w:after="100"/>
            </w:pPr>
            <w:r>
              <w:rPr>
                <w:rFonts w:ascii="Calibri" w:hAnsi="Calibri"/>
                <w:b w:val="0"/>
                <w:i w:val="0"/>
                <w:color w:val="18242F"/>
                <w:sz w:val="19"/>
              </w:rPr>
              <w:t>Two teams work across a large field. One team's chosen runner tries to reach the opposite goal while teammates protect and support. When the runner is tagged, possession and direction change.</w:t>
            </w:r>
          </w:p>
          <w:p>
            <w:pPr>
              <w:spacing w:before="80" w:after="40"/>
            </w:pPr>
            <w:r>
              <w:rPr>
                <w:rFonts w:ascii="Calibri" w:hAnsi="Calibri"/>
                <w:b/>
                <w:i w:val="0"/>
                <w:color w:val="007C83"/>
                <w:sz w:val="18"/>
              </w:rPr>
              <w:t>WHAT PEOPLE DO TOGETHER</w:t>
            </w:r>
          </w:p>
          <w:p>
            <w:pPr>
              <w:spacing w:after="100"/>
            </w:pPr>
            <w:r>
              <w:rPr>
                <w:rFonts w:ascii="Calibri" w:hAnsi="Calibri"/>
                <w:b w:val="0"/>
                <w:i w:val="0"/>
                <w:color w:val="18242F"/>
                <w:sz w:val="19"/>
              </w:rPr>
              <w:t>The game depends on teamwork, quick decisions, communication, agility and supporting a runner.</w:t>
            </w:r>
          </w:p>
          <w:p>
            <w:pPr>
              <w:spacing w:before="80" w:after="40"/>
            </w:pPr>
            <w:r>
              <w:rPr>
                <w:rFonts w:ascii="Calibri" w:hAnsi="Calibri"/>
                <w:b/>
                <w:i w:val="0"/>
                <w:color w:val="B64C3B"/>
                <w:sz w:val="18"/>
              </w:rPr>
              <w:t>SAY IT CAREFULLY</w:t>
            </w:r>
          </w:p>
          <w:p>
            <w:pPr>
              <w:spacing w:after="100"/>
            </w:pPr>
            <w:r>
              <w:rPr>
                <w:rFonts w:ascii="Calibri" w:hAnsi="Calibri"/>
                <w:b w:val="0"/>
                <w:i w:val="0"/>
                <w:color w:val="18242F"/>
                <w:sz w:val="19"/>
              </w:rPr>
              <w:t>Name the Aurukun source context. The activity needs a large clear space, non-contact tagging rules, active supervision and a school risk check.</w:t>
            </w:r>
          </w:p>
          <w:p>
            <w:pPr>
              <w:spacing w:before="80" w:after="0"/>
            </w:pPr>
            <w:r>
              <w:rPr>
                <w:rFonts w:ascii="Calibri" w:hAnsi="Calibri"/>
                <w:b/>
                <w:i w:val="0"/>
                <w:color w:val="C77D18"/>
                <w:sz w:val="18"/>
              </w:rPr>
              <w:t xml:space="preserve">GROUP THINKING PROMPT  </w:t>
            </w:r>
            <w:r>
              <w:rPr>
                <w:rFonts w:ascii="Calibri" w:hAnsi="Calibri"/>
                <w:b/>
                <w:i w:val="0"/>
                <w:color w:val="17324D"/>
                <w:sz w:val="19"/>
              </w:rPr>
              <w:t>How can a team protect and support one runner without unsafe contact?</w:t>
            </w:r>
          </w:p>
        </w:tc>
      </w:tr>
    </w:tbl>
    <w:p>
      <w:pPr>
        <w:spacing w:after="40"/>
      </w:pPr>
    </w:p>
    <w:p>
      <w:pPr>
        <w:spacing w:before="100"/>
      </w:pPr>
      <w:r>
        <w:rPr>
          <w:rFonts w:ascii="Calibri" w:hAnsi="Calibri"/>
          <w:b/>
          <w:i w:val="0"/>
          <w:color w:val="52606D"/>
          <w:sz w:val="16"/>
        </w:rPr>
        <w:t xml:space="preserve">SOURCE  </w:t>
      </w:r>
      <w:hyperlink r:id="rId11">
        <w:r>
          <w:rPr>
            <w:color w:val="007C83"/>
            <w:u w:val="single"/>
          </w:rPr>
          <w:t>Australian Sports Commission - Yulunga</w:t>
        </w:r>
      </w:hyperlink>
    </w:p>
    <w:p>
      <w:r>
        <w:br w:type="page"/>
      </w:r>
    </w:p>
    <w:tbl>
      <w:tblPr>
        <w:tblW w:type="dxa" w:w="9360"/>
        <w:tblLayout w:type="fixed"/>
        <w:tblLook w:firstColumn="1" w:firstRow="1" w:lastColumn="0" w:lastRow="0" w:noHBand="0" w:noVBand="1" w:val="04A0"/>
        <w:tblInd w:w="120" w:type="dxa"/>
        <w:tblBorders>
          <w:top w:val="single" w:sz="14" w:color="007C83"/>
          <w:left w:val="single" w:sz="14" w:color="007C83"/>
          <w:bottom w:val="single" w:sz="14" w:color="007C83"/>
          <w:right w:val="single" w:sz="14" w:color="007C83"/>
        </w:tblBorders>
      </w:tblPr>
      <w:tblGrid>
        <w:gridCol w:w="9360"/>
      </w:tblGrid>
      <w:tr>
        <w:tc>
          <w:tcPr>
            <w:tcW w:type="dxa" w:w="9360"/>
            <w:tcMar>
              <w:top w:w="90" w:type="dxa"/>
              <w:start w:w="120" w:type="dxa"/>
              <w:bottom w:w="90" w:type="dxa"/>
              <w:end w:w="120" w:type="dxa"/>
            </w:tcMar>
            <w:vAlign w:val="center"/>
            <w:shd w:fill="F4F7F8"/>
          </w:tcPr>
          <w:p>
            <w:pPr>
              <w:spacing w:after="40"/>
            </w:pPr>
            <w:r>
              <w:rPr>
                <w:rFonts w:ascii="Calibri" w:hAnsi="Calibri"/>
                <w:b/>
                <w:i w:val="0"/>
                <w:color w:val="17324D"/>
                <w:sz w:val="42"/>
              </w:rPr>
              <w:t>Keentan</w:t>
            </w:r>
          </w:p>
          <w:p>
            <w:pPr>
              <w:spacing w:after="160"/>
            </w:pPr>
            <w:r>
              <w:rPr>
                <w:rFonts w:ascii="Calibri" w:hAnsi="Calibri"/>
                <w:b/>
                <w:i w:val="0"/>
                <w:color w:val="C77D18"/>
                <w:sz w:val="18"/>
              </w:rPr>
              <w:t>NORTH-WEST CENTRAL QUEENSLAND</w:t>
            </w:r>
          </w:p>
          <w:p>
            <w:pPr>
              <w:spacing w:before="80" w:after="40"/>
            </w:pPr>
            <w:r>
              <w:rPr>
                <w:rFonts w:ascii="Calibri" w:hAnsi="Calibri"/>
                <w:b/>
                <w:i w:val="0"/>
                <w:color w:val="007C83"/>
                <w:sz w:val="18"/>
              </w:rPr>
              <w:t>SOURCE STORY</w:t>
            </w:r>
          </w:p>
          <w:p>
            <w:pPr>
              <w:spacing w:after="100"/>
            </w:pPr>
            <w:r>
              <w:rPr>
                <w:rFonts w:ascii="Calibri" w:hAnsi="Calibri"/>
                <w:b w:val="0"/>
                <w:i w:val="0"/>
                <w:color w:val="18242F"/>
                <w:sz w:val="19"/>
              </w:rPr>
              <w:t>A catch-ball keep-away game was played by both genders in north-west central Queensland. The Kalkadoon people sometimes described it as 'kangaroo-play' because players jumped to catch. Keentan means 'play' in the Wik-Mungkan language; the name is used because an identifiable Kalkadoon word was unavailable to the source authors.</w:t>
            </w:r>
          </w:p>
          <w:p>
            <w:pPr>
              <w:spacing w:before="80" w:after="40"/>
            </w:pPr>
            <w:r>
              <w:rPr>
                <w:rFonts w:ascii="Calibri" w:hAnsi="Calibri"/>
                <w:b/>
                <w:i w:val="0"/>
                <w:color w:val="007C83"/>
                <w:sz w:val="18"/>
              </w:rPr>
              <w:t>HOW PEOPLE MOVE</w:t>
            </w:r>
          </w:p>
          <w:p>
            <w:pPr>
              <w:spacing w:after="100"/>
            </w:pPr>
            <w:r>
              <w:rPr>
                <w:rFonts w:ascii="Calibri" w:hAnsi="Calibri"/>
                <w:b w:val="0"/>
                <w:i w:val="0"/>
                <w:color w:val="18242F"/>
                <w:sz w:val="19"/>
              </w:rPr>
              <w:t>Teams pass a ball and try to keep possession. Defenders gain the ball only by catching it while they are in the air. A small jump is enough; no body contact or obstruction is allowed.</w:t>
            </w:r>
          </w:p>
          <w:p>
            <w:pPr>
              <w:spacing w:before="80" w:after="40"/>
            </w:pPr>
            <w:r>
              <w:rPr>
                <w:rFonts w:ascii="Calibri" w:hAnsi="Calibri"/>
                <w:b/>
                <w:i w:val="0"/>
                <w:color w:val="007C83"/>
                <w:sz w:val="18"/>
              </w:rPr>
              <w:t>WHAT PEOPLE DO TOGETHER</w:t>
            </w:r>
          </w:p>
          <w:p>
            <w:pPr>
              <w:spacing w:after="100"/>
            </w:pPr>
            <w:r>
              <w:rPr>
                <w:rFonts w:ascii="Calibri" w:hAnsi="Calibri"/>
                <w:b w:val="0"/>
                <w:i w:val="0"/>
                <w:color w:val="18242F"/>
                <w:sz w:val="19"/>
              </w:rPr>
              <w:t>Players need timing, passing, spatial awareness, fair play and coordinated team movement.</w:t>
            </w:r>
          </w:p>
          <w:p>
            <w:pPr>
              <w:spacing w:before="80" w:after="40"/>
            </w:pPr>
            <w:r>
              <w:rPr>
                <w:rFonts w:ascii="Calibri" w:hAnsi="Calibri"/>
                <w:b/>
                <w:i w:val="0"/>
                <w:color w:val="B64C3B"/>
                <w:sz w:val="18"/>
              </w:rPr>
              <w:t>SAY IT CAREFULLY</w:t>
            </w:r>
          </w:p>
          <w:p>
            <w:pPr>
              <w:spacing w:after="100"/>
            </w:pPr>
            <w:r>
              <w:rPr>
                <w:rFonts w:ascii="Calibri" w:hAnsi="Calibri"/>
                <w:b w:val="0"/>
                <w:i w:val="0"/>
                <w:color w:val="18242F"/>
                <w:sz w:val="19"/>
              </w:rPr>
              <w:t>Explain why the name is used and avoid collapsing Wik-Mungkan language and Kalkadoon cultural history into one group.</w:t>
            </w:r>
          </w:p>
          <w:p>
            <w:pPr>
              <w:spacing w:before="80" w:after="0"/>
            </w:pPr>
            <w:r>
              <w:rPr>
                <w:rFonts w:ascii="Calibri" w:hAnsi="Calibri"/>
                <w:b/>
                <w:i w:val="0"/>
                <w:color w:val="C77D18"/>
                <w:sz w:val="18"/>
              </w:rPr>
              <w:t xml:space="preserve">GROUP THINKING PROMPT  </w:t>
            </w:r>
            <w:r>
              <w:rPr>
                <w:rFonts w:ascii="Calibri" w:hAnsi="Calibri"/>
                <w:b/>
                <w:i w:val="0"/>
                <w:color w:val="17324D"/>
                <w:sz w:val="19"/>
              </w:rPr>
              <w:t>Which rule could be adjusted so people with different mobility needs can contribute meaningfully?</w:t>
            </w:r>
          </w:p>
        </w:tc>
      </w:tr>
    </w:tbl>
    <w:p>
      <w:pPr>
        <w:spacing w:after="40"/>
      </w:pPr>
    </w:p>
    <w:p>
      <w:pPr>
        <w:spacing w:before="100"/>
      </w:pPr>
      <w:r>
        <w:rPr>
          <w:rFonts w:ascii="Calibri" w:hAnsi="Calibri"/>
          <w:b/>
          <w:i w:val="0"/>
          <w:color w:val="52606D"/>
          <w:sz w:val="16"/>
        </w:rPr>
        <w:t xml:space="preserve">SOURCE  </w:t>
      </w:r>
      <w:hyperlink r:id="rId11">
        <w:r>
          <w:rPr>
            <w:color w:val="007C83"/>
            <w:u w:val="single"/>
          </w:rPr>
          <w:t>Australian Sports Commission - Yulunga</w:t>
        </w:r>
      </w:hyperlink>
    </w:p>
    <w:p>
      <w:r>
        <w:br w:type="page"/>
      </w:r>
    </w:p>
    <w:tbl>
      <w:tblPr>
        <w:tblW w:type="dxa" w:w="9360"/>
        <w:tblLayout w:type="fixed"/>
        <w:tblLook w:firstColumn="1" w:firstRow="1" w:lastColumn="0" w:lastRow="0" w:noHBand="0" w:noVBand="1" w:val="04A0"/>
        <w:tblInd w:w="120" w:type="dxa"/>
        <w:tblBorders>
          <w:top w:val="single" w:sz="14" w:color="007C83"/>
          <w:left w:val="single" w:sz="14" w:color="007C83"/>
          <w:bottom w:val="single" w:sz="14" w:color="007C83"/>
          <w:right w:val="single" w:sz="14" w:color="007C83"/>
        </w:tblBorders>
      </w:tblPr>
      <w:tblGrid>
        <w:gridCol w:w="9360"/>
      </w:tblGrid>
      <w:tr>
        <w:tc>
          <w:tcPr>
            <w:tcW w:type="dxa" w:w="9360"/>
            <w:tcMar>
              <w:top w:w="90" w:type="dxa"/>
              <w:start w:w="120" w:type="dxa"/>
              <w:bottom w:w="90" w:type="dxa"/>
              <w:end w:w="120" w:type="dxa"/>
            </w:tcMar>
            <w:vAlign w:val="center"/>
            <w:shd w:fill="F4F7F8"/>
          </w:tcPr>
          <w:p>
            <w:pPr>
              <w:spacing w:after="40"/>
            </w:pPr>
            <w:r>
              <w:rPr>
                <w:rFonts w:ascii="Calibri" w:hAnsi="Calibri"/>
                <w:b/>
                <w:i w:val="0"/>
                <w:color w:val="17324D"/>
                <w:sz w:val="42"/>
              </w:rPr>
              <w:t>Wana Wana</w:t>
            </w:r>
          </w:p>
          <w:p>
            <w:pPr>
              <w:spacing w:after="160"/>
            </w:pPr>
            <w:r>
              <w:rPr>
                <w:rFonts w:ascii="Calibri" w:hAnsi="Calibri"/>
                <w:b/>
                <w:i w:val="0"/>
                <w:color w:val="C77D18"/>
                <w:sz w:val="18"/>
              </w:rPr>
              <w:t>NOONGAR, SOUTH-WEST WESTERN AUSTRALIA</w:t>
            </w:r>
          </w:p>
          <w:p>
            <w:pPr>
              <w:spacing w:before="80" w:after="40"/>
            </w:pPr>
            <w:r>
              <w:rPr>
                <w:rFonts w:ascii="Calibri" w:hAnsi="Calibri"/>
                <w:b/>
                <w:i w:val="0"/>
                <w:color w:val="007C83"/>
                <w:sz w:val="18"/>
              </w:rPr>
              <w:t>SOURCE STORY</w:t>
            </w:r>
          </w:p>
          <w:p>
            <w:pPr>
              <w:spacing w:after="100"/>
            </w:pPr>
            <w:r>
              <w:rPr>
                <w:rFonts w:ascii="Calibri" w:hAnsi="Calibri"/>
                <w:b w:val="0"/>
                <w:i w:val="0"/>
                <w:color w:val="18242F"/>
                <w:sz w:val="19"/>
              </w:rPr>
              <w:t>This practice version is based on a game played by young Noongar girls in south-west Western Australia. A wana (or wanna) is a digging stick in some Noongar language. In the historical game, a girl used her wana to stop others hitting a short stick on the ground.</w:t>
            </w:r>
          </w:p>
          <w:p>
            <w:pPr>
              <w:spacing w:before="80" w:after="40"/>
            </w:pPr>
            <w:r>
              <w:rPr>
                <w:rFonts w:ascii="Calibri" w:hAnsi="Calibri"/>
                <w:b/>
                <w:i w:val="0"/>
                <w:color w:val="007C83"/>
                <w:sz w:val="18"/>
              </w:rPr>
              <w:t>HOW PEOPLE MOVE</w:t>
            </w:r>
          </w:p>
          <w:p>
            <w:pPr>
              <w:spacing w:after="100"/>
            </w:pPr>
            <w:r>
              <w:rPr>
                <w:rFonts w:ascii="Calibri" w:hAnsi="Calibri"/>
                <w:b w:val="0"/>
                <w:i w:val="0"/>
                <w:color w:val="18242F"/>
                <w:sz w:val="19"/>
              </w:rPr>
              <w:t>Four to eight players form a circle. Players take turns to underarm-lob a soft ball to a batter in the centre. The batter gently hits it to the next player to catch. Everyone rotates through the batting role.</w:t>
            </w:r>
          </w:p>
          <w:p>
            <w:pPr>
              <w:spacing w:before="80" w:after="40"/>
            </w:pPr>
            <w:r>
              <w:rPr>
                <w:rFonts w:ascii="Calibri" w:hAnsi="Calibri"/>
                <w:b/>
                <w:i w:val="0"/>
                <w:color w:val="007C83"/>
                <w:sz w:val="18"/>
              </w:rPr>
              <w:t>WHAT PEOPLE DO TOGETHER</w:t>
            </w:r>
          </w:p>
          <w:p>
            <w:pPr>
              <w:spacing w:after="100"/>
            </w:pPr>
            <w:r>
              <w:rPr>
                <w:rFonts w:ascii="Calibri" w:hAnsi="Calibri"/>
                <w:b w:val="0"/>
                <w:i w:val="0"/>
                <w:color w:val="18242F"/>
                <w:sz w:val="19"/>
              </w:rPr>
              <w:t>The circle structure depends on turn-taking, controlled striking, catching and helping the next person succeed.</w:t>
            </w:r>
          </w:p>
          <w:p>
            <w:pPr>
              <w:spacing w:before="80" w:after="40"/>
            </w:pPr>
            <w:r>
              <w:rPr>
                <w:rFonts w:ascii="Calibri" w:hAnsi="Calibri"/>
                <w:b/>
                <w:i w:val="0"/>
                <w:color w:val="B64C3B"/>
                <w:sz w:val="18"/>
              </w:rPr>
              <w:t>SAY IT CAREFULLY</w:t>
            </w:r>
          </w:p>
          <w:p>
            <w:pPr>
              <w:spacing w:after="100"/>
            </w:pPr>
            <w:r>
              <w:rPr>
                <w:rFonts w:ascii="Calibri" w:hAnsi="Calibri"/>
                <w:b w:val="0"/>
                <w:i w:val="0"/>
                <w:color w:val="18242F"/>
                <w:sz w:val="19"/>
              </w:rPr>
              <w:t>Use gentle lobs and strikes, wide spacing and soft equipment. Name the Noongar context and do not present one game as representing every Aboriginal culture.</w:t>
            </w:r>
          </w:p>
          <w:p>
            <w:pPr>
              <w:spacing w:before="80" w:after="0"/>
            </w:pPr>
            <w:r>
              <w:rPr>
                <w:rFonts w:ascii="Calibri" w:hAnsi="Calibri"/>
                <w:b/>
                <w:i w:val="0"/>
                <w:color w:val="C77D18"/>
                <w:sz w:val="18"/>
              </w:rPr>
              <w:t xml:space="preserve">GROUP THINKING PROMPT  </w:t>
            </w:r>
            <w:r>
              <w:rPr>
                <w:rFonts w:ascii="Calibri" w:hAnsi="Calibri"/>
                <w:b/>
                <w:i w:val="0"/>
                <w:color w:val="17324D"/>
                <w:sz w:val="19"/>
              </w:rPr>
              <w:t>How does rotating every person through the central role support fairness and belonging?</w:t>
            </w:r>
          </w:p>
        </w:tc>
      </w:tr>
    </w:tbl>
    <w:p>
      <w:pPr>
        <w:spacing w:after="40"/>
      </w:pPr>
    </w:p>
    <w:p>
      <w:pPr>
        <w:spacing w:before="100"/>
      </w:pPr>
      <w:r>
        <w:rPr>
          <w:rFonts w:ascii="Calibri" w:hAnsi="Calibri"/>
          <w:b/>
          <w:i w:val="0"/>
          <w:color w:val="52606D"/>
          <w:sz w:val="16"/>
        </w:rPr>
        <w:t xml:space="preserve">SOURCE  </w:t>
      </w:r>
      <w:hyperlink r:id="rId11">
        <w:r>
          <w:rPr>
            <w:color w:val="007C83"/>
            <w:u w:val="single"/>
          </w:rPr>
          <w:t>Australian Sports Commission - Yulunga</w:t>
        </w:r>
      </w:hyperlink>
    </w:p>
    <w:p>
      <w:r>
        <w:br w:type="page"/>
      </w:r>
    </w:p>
    <w:tbl>
      <w:tblPr>
        <w:tblW w:type="dxa" w:w="9360"/>
        <w:tblLayout w:type="fixed"/>
        <w:tblLook w:firstColumn="1" w:firstRow="1" w:lastColumn="0" w:lastRow="0" w:noHBand="0" w:noVBand="1" w:val="04A0"/>
        <w:tblInd w:w="120" w:type="dxa"/>
        <w:tblBorders>
          <w:top w:val="single" w:sz="14" w:color="007C83"/>
          <w:left w:val="single" w:sz="14" w:color="007C83"/>
          <w:bottom w:val="single" w:sz="14" w:color="007C83"/>
          <w:right w:val="single" w:sz="14" w:color="007C83"/>
        </w:tblBorders>
      </w:tblPr>
      <w:tblGrid>
        <w:gridCol w:w="9360"/>
      </w:tblGrid>
      <w:tr>
        <w:tc>
          <w:tcPr>
            <w:tcW w:type="dxa" w:w="9360"/>
            <w:tcMar>
              <w:top w:w="90" w:type="dxa"/>
              <w:start w:w="120" w:type="dxa"/>
              <w:bottom w:w="90" w:type="dxa"/>
              <w:end w:w="120" w:type="dxa"/>
            </w:tcMar>
            <w:vAlign w:val="center"/>
            <w:shd w:fill="F4F7F8"/>
          </w:tcPr>
          <w:p>
            <w:pPr>
              <w:spacing w:after="40"/>
            </w:pPr>
            <w:r>
              <w:rPr>
                <w:rFonts w:ascii="Calibri" w:hAnsi="Calibri"/>
                <w:b/>
                <w:i w:val="0"/>
                <w:color w:val="17324D"/>
                <w:sz w:val="42"/>
              </w:rPr>
              <w:t>Tai chi</w:t>
            </w:r>
          </w:p>
          <w:p>
            <w:pPr>
              <w:spacing w:after="160"/>
            </w:pPr>
            <w:r>
              <w:rPr>
                <w:rFonts w:ascii="Calibri" w:hAnsi="Calibri"/>
                <w:b/>
                <w:i w:val="0"/>
                <w:color w:val="C77D18"/>
                <w:sz w:val="18"/>
              </w:rPr>
              <w:t>CHINA</w:t>
            </w:r>
          </w:p>
          <w:p>
            <w:pPr>
              <w:spacing w:before="80" w:after="40"/>
            </w:pPr>
            <w:r>
              <w:rPr>
                <w:rFonts w:ascii="Calibri" w:hAnsi="Calibri"/>
                <w:b/>
                <w:i w:val="0"/>
                <w:color w:val="007C83"/>
                <w:sz w:val="18"/>
              </w:rPr>
              <w:t>SOURCE STORY</w:t>
            </w:r>
          </w:p>
          <w:p>
            <w:pPr>
              <w:spacing w:after="100"/>
            </w:pPr>
            <w:r>
              <w:rPr>
                <w:rFonts w:ascii="Calibri" w:hAnsi="Calibri"/>
                <w:b w:val="0"/>
                <w:i w:val="0"/>
                <w:color w:val="18242F"/>
                <w:sz w:val="19"/>
              </w:rPr>
              <w:t>Tai chi originated as a martial art in China. Today it is also practised as a mind-body activity for health and rehabilitation in many communities around the world.</w:t>
            </w:r>
          </w:p>
          <w:p>
            <w:pPr>
              <w:spacing w:before="80" w:after="40"/>
            </w:pPr>
            <w:r>
              <w:rPr>
                <w:rFonts w:ascii="Calibri" w:hAnsi="Calibri"/>
                <w:b/>
                <w:i w:val="0"/>
                <w:color w:val="007C83"/>
                <w:sz w:val="18"/>
              </w:rPr>
              <w:t>HOW PEOPLE MOVE</w:t>
            </w:r>
          </w:p>
          <w:p>
            <w:pPr>
              <w:spacing w:after="100"/>
            </w:pPr>
            <w:r>
              <w:rPr>
                <w:rFonts w:ascii="Calibri" w:hAnsi="Calibri"/>
                <w:b w:val="0"/>
                <w:i w:val="0"/>
                <w:color w:val="18242F"/>
                <w:sz w:val="19"/>
              </w:rPr>
              <w:t>A sequence of slow, gentle movements and postures is coordinated with controlled breathing and focused attention. It can be practised alone or in groups and adapted for different bodies.</w:t>
            </w:r>
          </w:p>
          <w:p>
            <w:pPr>
              <w:spacing w:before="80" w:after="40"/>
            </w:pPr>
            <w:r>
              <w:rPr>
                <w:rFonts w:ascii="Calibri" w:hAnsi="Calibri"/>
                <w:b/>
                <w:i w:val="0"/>
                <w:color w:val="007C83"/>
                <w:sz w:val="18"/>
              </w:rPr>
              <w:t>WHAT PEOPLE DO TOGETHER</w:t>
            </w:r>
          </w:p>
          <w:p>
            <w:pPr>
              <w:spacing w:after="100"/>
            </w:pPr>
            <w:r>
              <w:rPr>
                <w:rFonts w:ascii="Calibri" w:hAnsi="Calibri"/>
                <w:b w:val="0"/>
                <w:i w:val="0"/>
                <w:color w:val="18242F"/>
                <w:sz w:val="19"/>
              </w:rPr>
              <w:t>A group can move in shared rhythm while each person controls their own range and pace. The activity can offer a calm, non-competitive way to participate.</w:t>
            </w:r>
          </w:p>
          <w:p>
            <w:pPr>
              <w:spacing w:before="80" w:after="40"/>
            </w:pPr>
            <w:r>
              <w:rPr>
                <w:rFonts w:ascii="Calibri" w:hAnsi="Calibri"/>
                <w:b/>
                <w:i w:val="0"/>
                <w:color w:val="B64C3B"/>
                <w:sz w:val="18"/>
              </w:rPr>
              <w:t>SAY IT CAREFULLY</w:t>
            </w:r>
          </w:p>
          <w:p>
            <w:pPr>
              <w:spacing w:after="100"/>
            </w:pPr>
            <w:r>
              <w:rPr>
                <w:rFonts w:ascii="Calibri" w:hAnsi="Calibri"/>
                <w:b w:val="0"/>
                <w:i w:val="0"/>
                <w:color w:val="18242F"/>
                <w:sz w:val="19"/>
              </w:rPr>
              <w:t>Avoid calling all Asian movement traditions the same. Tai chi is Chinese and has many styles and purposes. Do not make medical promises from a brief classroom experience.</w:t>
            </w:r>
          </w:p>
          <w:p>
            <w:pPr>
              <w:spacing w:before="80" w:after="0"/>
            </w:pPr>
            <w:r>
              <w:rPr>
                <w:rFonts w:ascii="Calibri" w:hAnsi="Calibri"/>
                <w:b/>
                <w:i w:val="0"/>
                <w:color w:val="C77D18"/>
                <w:sz w:val="18"/>
              </w:rPr>
              <w:t xml:space="preserve">GROUP THINKING PROMPT  </w:t>
            </w:r>
            <w:r>
              <w:rPr>
                <w:rFonts w:ascii="Calibri" w:hAnsi="Calibri"/>
                <w:b/>
                <w:i w:val="0"/>
                <w:color w:val="17324D"/>
                <w:sz w:val="19"/>
              </w:rPr>
              <w:t>Why might a calm, non-competitive option help more people see a place for themselves at an activity event?</w:t>
            </w:r>
          </w:p>
        </w:tc>
      </w:tr>
    </w:tbl>
    <w:p>
      <w:pPr>
        <w:spacing w:after="40"/>
      </w:pPr>
    </w:p>
    <w:p>
      <w:pPr>
        <w:spacing w:before="100"/>
      </w:pPr>
      <w:r>
        <w:rPr>
          <w:rFonts w:ascii="Calibri" w:hAnsi="Calibri"/>
          <w:b/>
          <w:i w:val="0"/>
          <w:color w:val="52606D"/>
          <w:sz w:val="16"/>
        </w:rPr>
        <w:t xml:space="preserve">SOURCE  </w:t>
      </w:r>
      <w:hyperlink r:id="rId12">
        <w:r>
          <w:rPr>
            <w:color w:val="007C83"/>
            <w:u w:val="single"/>
          </w:rPr>
          <w:t>NCCIH - Tai Chi: What You Need To Know</w:t>
        </w:r>
      </w:hyperlink>
    </w:p>
    <w:sectPr w:rsidR="00FC693F" w:rsidRPr="0006063C" w:rsidSect="00034616">
      <w:headerReference w:type="default" r:id="rId9"/>
      <w:footerReference w:type="default" r:id="rId10"/>
      <w:pgSz w:w="12240" w:h="15840"/>
      <w:pgMar w:top="1123" w:right="1440" w:bottom="1037" w:left="1440"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i w:val="0"/>
        <w:color w:val="52606D"/>
        <w:sz w:val="16"/>
      </w:rPr>
      <w:t>LET'S ALL BE ACTIVE  |  YEAR 6 HEALTH  |  WEEK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olor w:val="007C83"/>
        <w:sz w:val="16"/>
      </w:rPr>
      <w:t>EVIDENCE CARDS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824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7C83"/>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260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usport.gov.au/clearinghouse/research/archive/asc/yulunga-games" TargetMode="External"/><Relationship Id="rId12" Type="http://schemas.openxmlformats.org/officeDocument/2006/relationships/hyperlink" Target="https://www.nccih.nih.gov/health/tai-chi-what-you-need-to-kn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