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12d4e"/>
          <w:sz w:val="32"/>
          <w:szCs w:val="32"/>
        </w:rPr>
        <w:t xml:space="preserve">Lesson R2: Seismic Engineers - Revision Handout</w:t>
      </w:r>
    </w:p>
    <w:p>
      <w:pPr>
        <w:spacing w:after="200"/>
        <w:jc w:val="center"/>
      </w:pPr>
      <w:r>
        <w:rPr>
          <w:i/>
          <w:iCs/>
          <w:color w:val="3f72af"/>
          <w:sz w:val="20"/>
          <w:szCs w:val="20"/>
        </w:rPr>
        <w:t xml:space="preserve">Science Unit 2: Natural Disasters - Revision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20"/>
      </w:tblGrid>
      <w:tr>
        <w:tc>
          <w:tcPr>
            <w:tcW w:type="dxa" w:w="4500"/>
            <w:tcBorders>
              <w:top w:val="single" w:color="e2e8f0" w:sz="4"/>
              <w:left w:val="single" w:color="e2e8f0" w:sz="4"/>
              <w:bottom w:val="single" w:color="e2e8f0" w:sz="4"/>
              <w:right w:val="single" w:color="e2e8f0" w:sz="4"/>
            </w:tcBorders>
          </w:tcPr>
          <w:p>
            <w:r>
              <w:rPr>
                <w:sz w:val="20"/>
                <w:szCs w:val="20"/>
              </w:rPr>
              <w:t xml:space="preserve">Name: ______________________</w:t>
            </w:r>
          </w:p>
        </w:tc>
        <w:tc>
          <w:tcPr>
            <w:tcW w:type="dxa" w:w="4520"/>
            <w:tcBorders>
              <w:top w:val="single" w:color="e2e8f0" w:sz="4"/>
              <w:left w:val="single" w:color="e2e8f0" w:sz="4"/>
              <w:bottom w:val="single" w:color="e2e8f0" w:sz="4"/>
              <w:right w:val="single" w:color="e2e8f0" w:sz="4"/>
            </w:tcBorders>
          </w:tcPr>
          <w:p>
            <w:r>
              <w:rPr>
                <w:sz w:val="20"/>
                <w:szCs w:val="20"/>
              </w:rPr>
              <w:t xml:space="preserve">Date: _________________  Class: _______</w:t>
            </w:r>
          </w:p>
        </w:tc>
      </w:tr>
    </w:tbl>
    <w:p>
      <w:pPr>
        <w:spacing w:after="250"/>
      </w:pPr>
    </w:p>
    <w:p>
      <w:pPr>
        <w:pStyle w:val="Heading1"/>
        <w:spacing w:after="100" w:before="100"/>
      </w:pPr>
      <w:r>
        <w:rPr>
          <w:b/>
          <w:bCs/>
          <w:color w:val="112d4e"/>
          <w:sz w:val="24"/>
          <w:szCs w:val="24"/>
        </w:rPr>
        <w:t xml:space="preserve">Section A: Kashmiri Architectural Damping Systems</w:t>
      </w:r>
    </w:p>
    <w:p>
      <w:pPr>
        <w:spacing w:after="150"/>
      </w:pPr>
      <w:r>
        <w:rPr>
          <w:sz w:val="20"/>
          <w:szCs w:val="20"/>
        </w:rPr>
        <w:t xml:space="preserve">Read the description of traditional Kashmiri construction techniques and answer the questions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Borders>
              <w:top w:val="single" w:color="e2e8f0" w:sz="4"/>
              <w:left w:val="single" w:color="e2e8f0" w:sz="4"/>
              <w:bottom w:val="single" w:color="e2e8f0" w:sz="4"/>
              <w:right w:val="single" w:color="e2e8f0" w:sz="4"/>
            </w:tcBorders>
            <w:shd w:fill="f9f7f7"/>
          </w:tcPr>
          <w:p>
            <w:r>
              <w:rPr>
                <w:i/>
                <w:iCs/>
                <w:sz w:val="18"/>
                <w:szCs w:val="18"/>
              </w:rPr>
              <w:t xml:space="preserve">The Taq and Dhajji-Dewari systems are traditional building practices in Kashmir, an earthquake-prone region. In the Taq system, large horizontal timber beams are embedded in brick walls at floor and window levels. This binds the building components together, allowing the structure to flex and move in unison during shaking, preventing masonry cracks. The Dhajji-Dewari system uses a timber cage frame filled with brick/mortar panels, held together by lean mud mortar. The timber frame features vertical, horizontal, and diagonal braces. Mud mortar is flexible and allows microscopic displacements of bricks without collapsing, absorbing shockwaves.</w:t>
            </w:r>
          </w:p>
        </w:tc>
      </w:tr>
    </w:tbl>
    <w:p>
      <w:pPr>
        <w:spacing w:after="150"/>
      </w:pPr>
    </w:p>
    <w:p>
      <w:pPr>
        <w:spacing w:after="100"/>
      </w:pPr>
      <w:r>
        <w:rPr>
          <w:b/>
          <w:bCs/>
          <w:sz w:val="20"/>
          <w:szCs w:val="20"/>
        </w:rPr>
        <w:t xml:space="preserve">1. Explain how the Taq system prevents brick walls from cracking during an earthquake.</w:t>
      </w:r>
    </w:p>
    <w:p>
      <w:pPr>
        <w:spacing w:after="200"/>
      </w:pPr>
      <w:r>
        <w:rPr>
          <w:sz w:val="18"/>
          <w:szCs w:val="18"/>
        </w:rPr>
        <w:t xml:space="preserve">Answer: ________________________________________________________________________________
________________________________________________________________________________</w:t>
      </w:r>
    </w:p>
    <w:p>
      <w:pPr>
        <w:spacing w:after="100"/>
      </w:pPr>
      <w:r>
        <w:rPr>
          <w:b/>
          <w:bCs/>
          <w:sz w:val="20"/>
          <w:szCs w:val="20"/>
        </w:rPr>
        <w:t xml:space="preserve">2. Why is the use of lean mud mortar in the Dhajji-Dewari system better than stiff modern concrete mortar during seismic events?</w:t>
      </w:r>
    </w:p>
    <w:p>
      <w:pPr>
        <w:spacing w:after="200"/>
      </w:pPr>
      <w:r>
        <w:rPr>
          <w:sz w:val="18"/>
          <w:szCs w:val="18"/>
        </w:rPr>
        <w:t xml:space="preserve">Answer: ________________________________________________________________________________
________________________________________________________________________________</w:t>
      </w:r>
    </w:p>
    <w:p>
      <w:r>
        <w:br w:type="page"/>
      </w:r>
    </w:p>
    <w:p>
      <w:pPr>
        <w:pStyle w:val="Heading1"/>
      </w:pPr>
      <w:r>
        <w:rPr>
          <w:b/>
          <w:bCs/>
          <w:color w:val="112d4e"/>
          <w:sz w:val="24"/>
          <w:szCs w:val="24"/>
        </w:rPr>
        <w:t xml:space="preserve">Section B: Rebuilding Guidelines for Australian Homes</w:t>
      </w:r>
    </w:p>
    <w:p>
      <w:pPr>
        <w:spacing w:after="150"/>
      </w:pPr>
      <w:r>
        <w:rPr>
          <w:sz w:val="20"/>
          <w:szCs w:val="20"/>
        </w:rPr>
        <w:t xml:space="preserve">A town in New South Wales experienced severe damage to modern, rigid brick homes during a minor earthquake. As a Seismic Engineer, write two design guidelines based on traditional principles to help them rebuild.</w:t>
      </w:r>
    </w:p>
    <w:p>
      <w:pPr>
        <w:spacing w:after="100"/>
      </w:pPr>
      <w:r>
        <w:rPr>
          <w:b/>
          <w:bCs/>
          <w:sz w:val="20"/>
          <w:szCs w:val="20"/>
        </w:rPr>
        <w:t xml:space="preserve">Guideline 1 (Horizontal Support/Tying Elements):</w:t>
      </w:r>
    </w:p>
    <w:p>
      <w:pPr>
        <w:spacing w:after="200"/>
      </w:pPr>
      <w:r>
        <w:rPr>
          <w:sz w:val="18"/>
          <w:szCs w:val="18"/>
        </w:rPr>
        <w:t xml:space="preserve">Description: ____________________________________________________________________________
________________________________________________________________________________</w:t>
      </w:r>
    </w:p>
    <w:p>
      <w:pPr>
        <w:spacing w:after="100"/>
      </w:pPr>
      <w:r>
        <w:rPr>
          <w:b/>
          <w:bCs/>
          <w:sz w:val="20"/>
          <w:szCs w:val="20"/>
        </w:rPr>
        <w:t xml:space="preserve">Guideline 2 (Wall Panels &amp; Bracing):</w:t>
      </w:r>
    </w:p>
    <w:p>
      <w:pPr>
        <w:spacing w:after="200"/>
      </w:pPr>
      <w:r>
        <w:rPr>
          <w:sz w:val="18"/>
          <w:szCs w:val="18"/>
        </w:rPr>
        <w:t xml:space="preserve">Description: ____________________________________________________________________________
________________________________________________________________________________</w:t>
      </w:r>
    </w:p>
    <w:p>
      <w:pPr>
        <w:pStyle w:val="Heading1"/>
      </w:pPr>
      <w:r>
        <w:rPr>
          <w:b/>
          <w:bCs/>
          <w:color w:val="112d4e"/>
          <w:sz w:val="24"/>
          <w:szCs w:val="24"/>
        </w:rPr>
        <w:t xml:space="preserve">Section C: Indigenous Narrative Analysis</w:t>
      </w:r>
    </w:p>
    <w:p>
      <w:pPr>
        <w:spacing w:after="150"/>
      </w:pPr>
      <w:r>
        <w:rPr>
          <w:sz w:val="20"/>
          <w:szCs w:val="20"/>
        </w:rPr>
        <w:t xml:space="preserve">Indigenous cultural stories often contain observations of geological events. Read a story extract: 'The Earth began to grow hot and growled like a giant beast. The mountain spat fire and ash, blocking out the sun, and the ground rolled like waves on the sea.'</w:t>
      </w:r>
    </w:p>
    <w:p>
      <w:pPr>
        <w:spacing w:after="100"/>
      </w:pPr>
      <w:r>
        <w:rPr>
          <w:b/>
          <w:bCs/>
          <w:sz w:val="20"/>
          <w:szCs w:val="20"/>
        </w:rPr>
        <w:t xml:space="preserve">Explain how this Indigenous story contributes to scientific understanding of natural disasters.</w:t>
      </w:r>
    </w:p>
    <w:p>
      <w:pPr>
        <w:spacing w:after="200"/>
      </w:pPr>
      <w:r>
        <w:rPr>
          <w:sz w:val="18"/>
          <w:szCs w:val="18"/>
        </w:rPr>
        <w:t xml:space="preserve">Answer: ________________________________________________________________________________
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12d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2026-06-07T10:47:51.543Z</dcterms:created>
  <dcterms:modified xsi:type="dcterms:W3CDTF">2026-06-07T10:47:51.543Z</dcterms:modified>
</cp:coreProperties>
</file>

<file path=docProps/custom.xml><?xml version="1.0" encoding="utf-8"?>
<Properties xmlns="http://schemas.openxmlformats.org/officeDocument/2006/custom-properties" xmlns:vt="http://schemas.openxmlformats.org/officeDocument/2006/docPropsVTypes"/>
</file>