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40" w:line="240" w:lineRule="auto"/>
      </w:pPr>
      <w:r>
        <w:rPr>
          <w:rFonts w:ascii="Calibri" w:hAnsi="Calibri"/>
          <w:b/>
          <w:color w:val="497C79"/>
          <w:sz w:val="18"/>
        </w:rPr>
        <w:t>CONCISE PERSUASIVE PATHWAY</w:t>
      </w:r>
    </w:p>
    <w:p>
      <w:pPr>
        <w:keepNext/>
        <w:spacing w:before="0" w:after="60" w:line="240" w:lineRule="auto"/>
      </w:pPr>
      <w:r>
        <w:rPr>
          <w:rFonts w:ascii="Calibri" w:hAnsi="Calibri"/>
          <w:b/>
          <w:color w:val="26364C"/>
          <w:sz w:val="46"/>
        </w:rPr>
        <w:t>The Borrow Box</w:t>
      </w:r>
    </w:p>
    <w:p>
      <w:pPr>
        <w:keepNext w:val="0"/>
        <w:spacing w:before="0" w:after="160" w:line="252" w:lineRule="auto"/>
        <w:pBdr>
          <w:bottom w:val="single" w:sz="16" w:space="8" w:color="E5B85B"/>
        </w:pBdr>
      </w:pPr>
      <w:r>
        <w:rPr>
          <w:rFonts w:ascii="Calibri" w:hAnsi="Calibri"/>
          <w:i/>
          <w:color w:val="65717E"/>
          <w:sz w:val="23"/>
        </w:rPr>
        <w:t>Same big idea: hear a real worry, then give a helpful answer.</w:t>
      </w:r>
    </w:p>
    <w:p>
      <w:pPr>
        <w:keepNext w:val="0"/>
        <w:spacing w:before="0" w:after="120" w:line="240" w:lineRule="auto"/>
        <w:jc w:val="right"/>
      </w:pPr>
      <w:r>
        <w:rPr>
          <w:rFonts w:ascii="Calibri" w:hAnsi="Calibri"/>
          <w:b/>
          <w:color w:val="65717E"/>
          <w:sz w:val="17"/>
        </w:rPr>
        <w:t>READ TOGETHER  |  POINT / SAY / WRITE</w:t>
      </w:r>
    </w:p>
    <w:p>
      <w:pPr>
        <w:pStyle w:val="Heading1"/>
        <w:keepNext/>
        <w:spacing w:before="180" w:after="100" w:line="240" w:lineRule="auto"/>
      </w:pPr>
      <w:r>
        <w:rPr>
          <w:rFonts w:ascii="Calibri" w:hAnsi="Calibri"/>
          <w:b/>
          <w:color w:val="314B68"/>
          <w:sz w:val="30"/>
        </w:rPr>
        <w:t>The school idea</w:t>
      </w:r>
    </w:p>
    <w:p>
      <w:pPr>
        <w:keepNext w:val="0"/>
        <w:spacing w:before="0" w:after="80" w:line="276" w:lineRule="auto"/>
      </w:pPr>
      <w:r>
        <w:rPr>
          <w:rFonts w:ascii="Calibri" w:hAnsi="Calibri"/>
          <w:b w:val="0"/>
          <w:i w:val="0"/>
          <w:color w:val="26313D"/>
          <w:sz w:val="26"/>
        </w:rPr>
        <w:t>Imani wants the school to try a Borrow Box at lunch. Students could borrow balls, chalk, skipping ropes, card games and drawing boards. They would return the things when lunch finishes. Imani thinks more students could have something to do.</w:t>
      </w:r>
    </w:p>
    <w:p>
      <w:pPr>
        <w:pStyle w:val="Heading1"/>
        <w:keepNext/>
        <w:spacing w:before="180" w:after="100" w:line="240" w:lineRule="auto"/>
      </w:pPr>
      <w:r>
        <w:rPr>
          <w:rFonts w:ascii="Calibri" w:hAnsi="Calibri"/>
          <w:b/>
          <w:color w:val="314B68"/>
          <w:sz w:val="30"/>
        </w:rPr>
        <w:t>Real worries</w:t>
      </w:r>
    </w:p>
    <w:tbl>
      <w:tblPr>
        <w:tblStyle w:val="TableGrid"/>
        <w:tblW w:type="dxa" w:w="10178"/>
        <w:jc w:val="left"/>
        <w:tblLayout w:type="fixed"/>
        <w:tblLook w:firstColumn="1" w:firstRow="1" w:lastColumn="0" w:lastRow="0" w:noHBand="0" w:noVBand="1" w:val="04A0"/>
        <w:tblInd w:w="120" w:type="dxa"/>
      </w:tblPr>
      <w:tblGrid>
        <w:gridCol w:w="4100"/>
        <w:gridCol w:w="6078"/>
      </w:tblGrid>
      <w:tr>
        <w:trPr>
          <w:cantSplit/>
          <w:tblHeader w:val="true"/>
        </w:trPr>
        <w:tc>
          <w:tcPr>
            <w:tcW w:type="dxa" w:w="4100"/>
            <w:vAlign w:val="center"/>
            <w:tcMar>
              <w:top w:w="90" w:type="dxa"/>
              <w:start w:w="120" w:type="dxa"/>
              <w:bottom w:w="90" w:type="dxa"/>
              <w:end w:w="120" w:type="dxa"/>
            </w:tcMar>
            <w:shd w:fill="314B68"/>
          </w:tcPr>
          <w:p>
            <w:pPr>
              <w:keepNext w:val="0"/>
              <w:spacing w:before="0" w:after="0" w:line="259" w:lineRule="auto"/>
              <w:jc w:val="center"/>
            </w:pPr>
            <w:r/>
            <w:r>
              <w:rPr>
                <w:rFonts w:ascii="Calibri" w:hAnsi="Calibri"/>
                <w:b/>
                <w:color w:val="FFFFFF"/>
                <w:sz w:val="18"/>
              </w:rPr>
              <w:t>A real worry</w:t>
            </w:r>
          </w:p>
        </w:tc>
        <w:tc>
          <w:tcPr>
            <w:tcW w:type="dxa" w:w="6078"/>
            <w:vAlign w:val="center"/>
            <w:tcMar>
              <w:top w:w="90" w:type="dxa"/>
              <w:start w:w="120" w:type="dxa"/>
              <w:bottom w:w="90" w:type="dxa"/>
              <w:end w:w="120" w:type="dxa"/>
            </w:tcMar>
            <w:shd w:fill="314B68"/>
          </w:tcPr>
          <w:p>
            <w:pPr>
              <w:keepNext w:val="0"/>
              <w:spacing w:before="0" w:after="0" w:line="259" w:lineRule="auto"/>
              <w:jc w:val="center"/>
            </w:pPr>
            <w:r/>
            <w:r>
              <w:rPr>
                <w:rFonts w:ascii="Calibri" w:hAnsi="Calibri"/>
                <w:b/>
                <w:color w:val="FFFFFF"/>
                <w:sz w:val="18"/>
              </w:rPr>
              <w:t>A helpful action</w:t>
            </w:r>
          </w:p>
        </w:tc>
      </w:tr>
      <w:tr>
        <w:tc>
          <w:tcPr>
            <w:tcW w:type="dxa" w:w="4100"/>
          </w:tcPr>
          <w:p>
            <w:pPr>
              <w:keepNext w:val="0"/>
              <w:spacing w:before="0" w:after="0" w:line="259" w:lineRule="auto"/>
            </w:pPr>
            <w:r/>
            <w:r>
              <w:rPr>
                <w:rFonts w:ascii="Calibri" w:hAnsi="Calibri"/>
                <w:b w:val="0"/>
                <w:color w:val="26313D"/>
                <w:sz w:val="24"/>
              </w:rPr>
              <w:t>Things could be lost.</w:t>
            </w:r>
          </w:p>
        </w:tc>
        <w:tc>
          <w:tcPr>
            <w:tcW w:type="dxa" w:w="6078"/>
          </w:tcPr>
          <w:p>
            <w:pPr>
              <w:keepNext w:val="0"/>
              <w:spacing w:before="0" w:after="0" w:line="259" w:lineRule="auto"/>
            </w:pPr>
            <w:r/>
            <w:r>
              <w:rPr>
                <w:rFonts w:ascii="Calibri" w:hAnsi="Calibri"/>
                <w:b w:val="0"/>
                <w:color w:val="26313D"/>
                <w:sz w:val="24"/>
              </w:rPr>
              <w:t>Use a labelled tub and count the things at the end.</w:t>
            </w:r>
          </w:p>
        </w:tc>
      </w:tr>
      <w:tr>
        <w:tc>
          <w:tcPr>
            <w:tcW w:type="dxa" w:w="4100"/>
            <w:shd w:fill="F7FAFB"/>
          </w:tcPr>
          <w:p>
            <w:pPr>
              <w:keepNext w:val="0"/>
              <w:spacing w:before="0" w:after="0" w:line="259" w:lineRule="auto"/>
            </w:pPr>
            <w:r/>
            <w:r>
              <w:rPr>
                <w:rFonts w:ascii="Calibri" w:hAnsi="Calibri"/>
                <w:b w:val="0"/>
                <w:color w:val="26313D"/>
                <w:sz w:val="24"/>
              </w:rPr>
              <w:t>The queue could be too long.</w:t>
            </w:r>
          </w:p>
        </w:tc>
        <w:tc>
          <w:tcPr>
            <w:tcW w:type="dxa" w:w="6078"/>
            <w:shd w:fill="F7FAFB"/>
          </w:tcPr>
          <w:p>
            <w:pPr>
              <w:keepNext w:val="0"/>
              <w:spacing w:before="0" w:after="0" w:line="259" w:lineRule="auto"/>
            </w:pPr>
            <w:r/>
            <w:r>
              <w:rPr>
                <w:rFonts w:ascii="Calibri" w:hAnsi="Calibri"/>
                <w:b w:val="0"/>
                <w:color w:val="26313D"/>
                <w:sz w:val="24"/>
              </w:rPr>
              <w:t>Use a short collection time and record the wait.</w:t>
            </w:r>
          </w:p>
        </w:tc>
      </w:tr>
      <w:tr>
        <w:tc>
          <w:tcPr>
            <w:tcW w:type="dxa" w:w="4100"/>
          </w:tcPr>
          <w:p>
            <w:pPr>
              <w:keepNext w:val="0"/>
              <w:spacing w:before="0" w:after="0" w:line="259" w:lineRule="auto"/>
            </w:pPr>
            <w:r/>
            <w:r>
              <w:rPr>
                <w:rFonts w:ascii="Calibri" w:hAnsi="Calibri"/>
                <w:b w:val="0"/>
                <w:color w:val="26313D"/>
                <w:sz w:val="24"/>
              </w:rPr>
              <w:t>Quiet students could be left out.</w:t>
            </w:r>
          </w:p>
        </w:tc>
        <w:tc>
          <w:tcPr>
            <w:tcW w:type="dxa" w:w="6078"/>
          </w:tcPr>
          <w:p>
            <w:pPr>
              <w:keepNext w:val="0"/>
              <w:spacing w:before="0" w:after="0" w:line="259" w:lineRule="auto"/>
            </w:pPr>
            <w:r/>
            <w:r>
              <w:rPr>
                <w:rFonts w:ascii="Calibri" w:hAnsi="Calibri"/>
                <w:b w:val="0"/>
                <w:color w:val="26313D"/>
                <w:sz w:val="24"/>
              </w:rPr>
              <w:t>Include drawing boards and card games too.</w:t>
            </w:r>
          </w:p>
        </w:tc>
      </w:tr>
    </w:tbl>
    <w:p>
      <w:pPr>
        <w:keepNext w:val="0"/>
        <w:spacing w:before="0" w:after="40" w:line="276" w:lineRule="auto"/>
      </w:pPr>
    </w:p>
    <w:p>
      <w:pPr>
        <w:keepNext w:val="0"/>
        <w:spacing w:before="90" w:after="90" w:line="276" w:lineRule="auto"/>
        <w:shd w:fill="FFF2D8"/>
        <w:pBdr>
          <w:left w:val="single" w:sz="22" w:space="8" w:color="B96559"/>
        </w:pBdr>
      </w:pPr>
      <w:r>
        <w:rPr>
          <w:rFonts w:ascii="Calibri" w:hAnsi="Calibri"/>
          <w:b/>
          <w:color w:val="B96559"/>
          <w:sz w:val="21"/>
        </w:rPr>
        <w:t xml:space="preserve">Important: </w:t>
      </w:r>
      <w:r>
        <w:rPr>
          <w:rFonts w:ascii="Calibri" w:hAnsi="Calibri"/>
          <w:color w:val="26313D"/>
          <w:sz w:val="21"/>
        </w:rPr>
        <w:t>A real worry is not someone being mean. We can hear it and still keep our idea.</w:t>
      </w:r>
    </w:p>
    <w:p>
      <w:pPr>
        <w:pStyle w:val="Heading1"/>
        <w:keepNext/>
        <w:spacing w:before="180" w:after="100" w:line="240" w:lineRule="auto"/>
      </w:pPr>
      <w:r>
        <w:rPr>
          <w:rFonts w:ascii="Calibri" w:hAnsi="Calibri"/>
          <w:b/>
          <w:color w:val="314B68"/>
          <w:sz w:val="30"/>
        </w:rPr>
        <w:t>Say the ACK bridge</w:t>
      </w:r>
    </w:p>
    <w:tbl>
      <w:tblPr>
        <w:tblStyle w:val="TableGrid"/>
        <w:tblW w:type="dxa" w:w="10178"/>
        <w:jc w:val="left"/>
        <w:tblLayout w:type="fixed"/>
        <w:tblLook w:firstColumn="1" w:firstRow="1" w:lastColumn="0" w:lastRow="0" w:noHBand="0" w:noVBand="1" w:val="04A0"/>
        <w:tblInd w:w="120" w:type="dxa"/>
      </w:tblPr>
      <w:tblGrid>
        <w:gridCol w:w="2500"/>
        <w:gridCol w:w="7678"/>
      </w:tblGrid>
      <w:tr>
        <w:trPr>
          <w:cantSplit/>
          <w:tblHeader w:val="true"/>
        </w:trPr>
        <w:tc>
          <w:tcPr>
            <w:tcW w:type="dxa" w:w="2500"/>
            <w:vAlign w:val="center"/>
            <w:tcMar>
              <w:top w:w="90" w:type="dxa"/>
              <w:start w:w="120" w:type="dxa"/>
              <w:bottom w:w="90" w:type="dxa"/>
              <w:end w:w="120" w:type="dxa"/>
            </w:tcMar>
            <w:shd w:fill="314B68"/>
          </w:tcPr>
          <w:p>
            <w:pPr>
              <w:keepNext w:val="0"/>
              <w:spacing w:before="0" w:after="0" w:line="259" w:lineRule="auto"/>
              <w:jc w:val="center"/>
            </w:pPr>
            <w:r/>
            <w:r>
              <w:rPr>
                <w:rFonts w:ascii="Calibri" w:hAnsi="Calibri"/>
                <w:b/>
                <w:color w:val="FFFFFF"/>
                <w:sz w:val="18"/>
              </w:rPr>
              <w:t>Move</w:t>
            </w:r>
          </w:p>
        </w:tc>
        <w:tc>
          <w:tcPr>
            <w:tcW w:type="dxa" w:w="7678"/>
            <w:vAlign w:val="center"/>
            <w:tcMar>
              <w:top w:w="90" w:type="dxa"/>
              <w:start w:w="120" w:type="dxa"/>
              <w:bottom w:w="90" w:type="dxa"/>
              <w:end w:w="120" w:type="dxa"/>
            </w:tcMar>
            <w:shd w:fill="314B68"/>
          </w:tcPr>
          <w:p>
            <w:pPr>
              <w:keepNext w:val="0"/>
              <w:spacing w:before="0" w:after="0" w:line="259" w:lineRule="auto"/>
              <w:jc w:val="center"/>
            </w:pPr>
            <w:r/>
            <w:r>
              <w:rPr>
                <w:rFonts w:ascii="Calibri" w:hAnsi="Calibri"/>
                <w:b/>
                <w:color w:val="FFFFFF"/>
                <w:sz w:val="18"/>
              </w:rPr>
              <w:t>Choose / point / say</w:t>
            </w:r>
          </w:p>
        </w:tc>
      </w:tr>
      <w:tr>
        <w:tc>
          <w:tcPr>
            <w:tcW w:type="dxa" w:w="2500"/>
          </w:tcPr>
          <w:p>
            <w:pPr>
              <w:keepNext w:val="0"/>
              <w:spacing w:before="0" w:after="640" w:line="259" w:lineRule="auto"/>
            </w:pPr>
            <w:r/>
            <w:r>
              <w:rPr>
                <w:rFonts w:ascii="Calibri" w:hAnsi="Calibri"/>
                <w:b w:val="0"/>
                <w:color w:val="65717E"/>
                <w:sz w:val="24"/>
              </w:rPr>
              <w:t>A - Hear the worry</w:t>
            </w:r>
          </w:p>
        </w:tc>
        <w:tc>
          <w:tcPr>
            <w:tcW w:type="dxa" w:w="7678"/>
          </w:tcPr>
          <w:p>
            <w:pPr>
              <w:keepNext w:val="0"/>
              <w:spacing w:before="0" w:after="640" w:line="259" w:lineRule="auto"/>
            </w:pPr>
            <w:r/>
            <w:r>
              <w:rPr>
                <w:rFonts w:ascii="Calibri" w:hAnsi="Calibri"/>
                <w:b w:val="0"/>
                <w:color w:val="65717E"/>
                <w:sz w:val="24"/>
              </w:rPr>
              <w:t>Some people worry about: lost things / waiting / being left out</w:t>
            </w:r>
          </w:p>
        </w:tc>
      </w:tr>
      <w:tr>
        <w:tc>
          <w:tcPr>
            <w:tcW w:type="dxa" w:w="2500"/>
          </w:tcPr>
          <w:p>
            <w:pPr>
              <w:keepNext w:val="0"/>
              <w:spacing w:before="0" w:after="640" w:line="259" w:lineRule="auto"/>
            </w:pPr>
            <w:r/>
            <w:r>
              <w:rPr>
                <w:rFonts w:ascii="Calibri" w:hAnsi="Calibri"/>
                <w:b w:val="0"/>
                <w:color w:val="65717E"/>
                <w:sz w:val="24"/>
              </w:rPr>
              <w:t>C - Helpful answer</w:t>
            </w:r>
          </w:p>
        </w:tc>
        <w:tc>
          <w:tcPr>
            <w:tcW w:type="dxa" w:w="7678"/>
          </w:tcPr>
          <w:p>
            <w:pPr>
              <w:keepNext w:val="0"/>
              <w:spacing w:before="0" w:after="640" w:line="259" w:lineRule="auto"/>
            </w:pPr>
            <w:r/>
            <w:r>
              <w:rPr>
                <w:rFonts w:ascii="Calibri" w:hAnsi="Calibri"/>
                <w:b w:val="0"/>
                <w:color w:val="65717E"/>
                <w:sz w:val="24"/>
              </w:rPr>
              <w:t>We could: count things / use a roster / include quiet choices</w:t>
            </w:r>
          </w:p>
        </w:tc>
      </w:tr>
      <w:tr>
        <w:tc>
          <w:tcPr>
            <w:tcW w:type="dxa" w:w="2500"/>
          </w:tcPr>
          <w:p>
            <w:pPr>
              <w:keepNext w:val="0"/>
              <w:spacing w:before="0" w:after="640" w:line="259" w:lineRule="auto"/>
            </w:pPr>
            <w:r/>
            <w:r>
              <w:rPr>
                <w:rFonts w:ascii="Calibri" w:hAnsi="Calibri"/>
                <w:b w:val="0"/>
                <w:color w:val="65717E"/>
                <w:sz w:val="24"/>
              </w:rPr>
              <w:t>K - Say the idea again</w:t>
            </w:r>
          </w:p>
        </w:tc>
        <w:tc>
          <w:tcPr>
            <w:tcW w:type="dxa" w:w="7678"/>
          </w:tcPr>
          <w:p>
            <w:pPr>
              <w:keepNext w:val="0"/>
              <w:spacing w:before="0" w:after="640" w:line="259" w:lineRule="auto"/>
            </w:pPr>
            <w:r/>
            <w:r>
              <w:rPr>
                <w:rFonts w:ascii="Calibri" w:hAnsi="Calibri"/>
                <w:b w:val="0"/>
                <w:color w:val="65717E"/>
                <w:sz w:val="24"/>
              </w:rPr>
              <w:t>So the school should: try it for four weeks and review it</w:t>
            </w:r>
          </w:p>
        </w:tc>
      </w:tr>
    </w:tbl>
    <w:p>
      <w:pPr>
        <w:keepNext w:val="0"/>
        <w:spacing w:before="0" w:after="40" w:line="276" w:lineRule="auto"/>
      </w:pPr>
    </w:p>
    <w:p>
      <w:r>
        <w:br w:type="page"/>
      </w:r>
    </w:p>
    <w:p>
      <w:pPr>
        <w:pStyle w:val="Heading1"/>
        <w:keepNext/>
        <w:spacing w:before="180" w:after="100" w:line="240" w:lineRule="auto"/>
      </w:pPr>
      <w:r>
        <w:rPr>
          <w:rFonts w:ascii="Calibri" w:hAnsi="Calibri"/>
          <w:b/>
          <w:color w:val="314B68"/>
          <w:sz w:val="30"/>
        </w:rPr>
        <w:t>Build my short letter</w:t>
      </w:r>
    </w:p>
    <w:p>
      <w:pPr>
        <w:keepNext w:val="0"/>
        <w:spacing w:before="90" w:after="90" w:line="276" w:lineRule="auto"/>
        <w:shd w:fill="EAF4F0"/>
        <w:pBdr>
          <w:left w:val="single" w:sz="22" w:space="8" w:color="497C79"/>
        </w:pBdr>
      </w:pPr>
      <w:r>
        <w:rPr>
          <w:rFonts w:ascii="Calibri" w:hAnsi="Calibri"/>
          <w:b/>
          <w:color w:val="497C79"/>
          <w:sz w:val="21"/>
        </w:rPr>
        <w:t xml:space="preserve">Say / write: </w:t>
      </w:r>
      <w:r>
        <w:rPr>
          <w:rFonts w:ascii="Calibri" w:hAnsi="Calibri"/>
          <w:color w:val="26313D"/>
          <w:sz w:val="21"/>
        </w:rPr>
        <w:t>I think the school should ________________________________________________.</w:t>
      </w:r>
    </w:p>
    <w:p>
      <w:pPr>
        <w:keepNext w:val="0"/>
        <w:spacing w:before="90" w:after="90" w:line="276" w:lineRule="auto"/>
        <w:shd w:fill="EAF4F0"/>
        <w:pBdr>
          <w:left w:val="single" w:sz="22" w:space="8" w:color="497C79"/>
        </w:pBdr>
      </w:pPr>
      <w:r>
        <w:rPr>
          <w:rFonts w:ascii="Calibri" w:hAnsi="Calibri"/>
          <w:b/>
          <w:color w:val="497C79"/>
          <w:sz w:val="21"/>
        </w:rPr>
        <w:t xml:space="preserve">Say / write: </w:t>
      </w:r>
      <w:r>
        <w:rPr>
          <w:rFonts w:ascii="Calibri" w:hAnsi="Calibri"/>
          <w:color w:val="26313D"/>
          <w:sz w:val="21"/>
        </w:rPr>
        <w:t>Some people worry about __________________________________________________.</w:t>
      </w:r>
    </w:p>
    <w:p>
      <w:pPr>
        <w:keepNext w:val="0"/>
        <w:spacing w:before="90" w:after="90" w:line="276" w:lineRule="auto"/>
        <w:shd w:fill="EAF4F0"/>
        <w:pBdr>
          <w:left w:val="single" w:sz="22" w:space="8" w:color="497C79"/>
        </w:pBdr>
      </w:pPr>
      <w:r>
        <w:rPr>
          <w:rFonts w:ascii="Calibri" w:hAnsi="Calibri"/>
          <w:b/>
          <w:color w:val="497C79"/>
          <w:sz w:val="21"/>
        </w:rPr>
        <w:t xml:space="preserve">Say / write: </w:t>
      </w:r>
      <w:r>
        <w:rPr>
          <w:rFonts w:ascii="Calibri" w:hAnsi="Calibri"/>
          <w:color w:val="26313D"/>
          <w:sz w:val="21"/>
        </w:rPr>
        <w:t>That matters because ______________________________________________________.</w:t>
      </w:r>
    </w:p>
    <w:p>
      <w:pPr>
        <w:keepNext w:val="0"/>
        <w:spacing w:before="90" w:after="90" w:line="276" w:lineRule="auto"/>
        <w:shd w:fill="EAF4F0"/>
        <w:pBdr>
          <w:left w:val="single" w:sz="22" w:space="8" w:color="497C79"/>
        </w:pBdr>
      </w:pPr>
      <w:r>
        <w:rPr>
          <w:rFonts w:ascii="Calibri" w:hAnsi="Calibri"/>
          <w:b/>
          <w:color w:val="497C79"/>
          <w:sz w:val="21"/>
        </w:rPr>
        <w:t xml:space="preserve">Say / write: </w:t>
      </w:r>
      <w:r>
        <w:rPr>
          <w:rFonts w:ascii="Calibri" w:hAnsi="Calibri"/>
          <w:color w:val="26313D"/>
          <w:sz w:val="21"/>
        </w:rPr>
        <w:t>We could ________________________________________________________________.</w:t>
      </w:r>
    </w:p>
    <w:p>
      <w:pPr>
        <w:keepNext w:val="0"/>
        <w:spacing w:before="90" w:after="90" w:line="276" w:lineRule="auto"/>
        <w:shd w:fill="EAF4F0"/>
        <w:pBdr>
          <w:left w:val="single" w:sz="22" w:space="8" w:color="497C79"/>
        </w:pBdr>
      </w:pPr>
      <w:r>
        <w:rPr>
          <w:rFonts w:ascii="Calibri" w:hAnsi="Calibri"/>
          <w:b/>
          <w:color w:val="497C79"/>
          <w:sz w:val="21"/>
        </w:rPr>
        <w:t xml:space="preserve">Say / write: </w:t>
      </w:r>
      <w:r>
        <w:rPr>
          <w:rFonts w:ascii="Calibri" w:hAnsi="Calibri"/>
          <w:color w:val="26313D"/>
          <w:sz w:val="21"/>
        </w:rPr>
        <w:t>So the school should try _________________________________________________.</w:t>
      </w:r>
    </w:p>
    <w:p>
      <w:pPr>
        <w:keepNext w:val="0"/>
        <w:spacing w:before="90" w:after="90" w:line="276" w:lineRule="auto"/>
        <w:shd w:fill="EAF4F0"/>
        <w:pBdr>
          <w:left w:val="single" w:sz="22" w:space="8" w:color="497C79"/>
        </w:pBdr>
      </w:pPr>
      <w:r>
        <w:rPr>
          <w:rFonts w:ascii="Calibri" w:hAnsi="Calibri"/>
          <w:b/>
          <w:color w:val="497C79"/>
          <w:sz w:val="21"/>
        </w:rPr>
        <w:t xml:space="preserve">Say / write: </w:t>
      </w:r>
      <w:r>
        <w:rPr>
          <w:rFonts w:ascii="Calibri" w:hAnsi="Calibri"/>
          <w:color w:val="26313D"/>
          <w:sz w:val="21"/>
        </w:rPr>
        <w:t>We could count / check ___________________________________________________.</w:t>
      </w:r>
    </w:p>
    <w:p>
      <w:pPr>
        <w:pStyle w:val="Heading1"/>
        <w:keepNext/>
        <w:spacing w:before="180" w:after="100" w:line="240" w:lineRule="auto"/>
      </w:pPr>
      <w:r>
        <w:rPr>
          <w:rFonts w:ascii="Calibri" w:hAnsi="Calibri"/>
          <w:b/>
          <w:color w:val="314B68"/>
          <w:sz w:val="30"/>
        </w:rPr>
        <w:t>Make one sentence fairer</w:t>
      </w:r>
    </w:p>
    <w:tbl>
      <w:tblPr>
        <w:tblStyle w:val="TableGrid"/>
        <w:tblW w:type="dxa" w:w="10178"/>
        <w:jc w:val="left"/>
        <w:tblLayout w:type="fixed"/>
        <w:tblLook w:firstColumn="1" w:firstRow="1" w:lastColumn="0" w:lastRow="0" w:noHBand="0" w:noVBand="1" w:val="04A0"/>
        <w:tblInd w:w="120" w:type="dxa"/>
      </w:tblPr>
      <w:tblGrid>
        <w:gridCol w:w="5089"/>
        <w:gridCol w:w="5089"/>
      </w:tblGrid>
      <w:tr>
        <w:trPr>
          <w:cantSplit/>
          <w:tblHeader w:val="true"/>
        </w:trPr>
        <w:tc>
          <w:tcPr>
            <w:tcW w:type="dxa" w:w="5089"/>
            <w:vAlign w:val="center"/>
            <w:tcMar>
              <w:top w:w="90" w:type="dxa"/>
              <w:start w:w="120" w:type="dxa"/>
              <w:bottom w:w="90" w:type="dxa"/>
              <w:end w:w="120" w:type="dxa"/>
            </w:tcMar>
            <w:shd w:fill="314B68"/>
          </w:tcPr>
          <w:p>
            <w:pPr>
              <w:keepNext w:val="0"/>
              <w:spacing w:before="0" w:after="0" w:line="259" w:lineRule="auto"/>
              <w:jc w:val="center"/>
            </w:pPr>
            <w:r/>
            <w:r>
              <w:rPr>
                <w:rFonts w:ascii="Calibri" w:hAnsi="Calibri"/>
                <w:b/>
                <w:color w:val="FFFFFF"/>
                <w:sz w:val="18"/>
              </w:rPr>
              <w:t>Not fair</w:t>
            </w:r>
          </w:p>
        </w:tc>
        <w:tc>
          <w:tcPr>
            <w:tcW w:type="dxa" w:w="5089"/>
            <w:vAlign w:val="center"/>
            <w:tcMar>
              <w:top w:w="90" w:type="dxa"/>
              <w:start w:w="120" w:type="dxa"/>
              <w:bottom w:w="90" w:type="dxa"/>
              <w:end w:w="120" w:type="dxa"/>
            </w:tcMar>
            <w:shd w:fill="314B68"/>
          </w:tcPr>
          <w:p>
            <w:pPr>
              <w:keepNext w:val="0"/>
              <w:spacing w:before="0" w:after="0" w:line="259" w:lineRule="auto"/>
              <w:jc w:val="center"/>
            </w:pPr>
            <w:r/>
            <w:r>
              <w:rPr>
                <w:rFonts w:ascii="Calibri" w:hAnsi="Calibri"/>
                <w:b/>
                <w:color w:val="FFFFFF"/>
                <w:sz w:val="18"/>
              </w:rPr>
              <w:t>Fairer</w:t>
            </w:r>
          </w:p>
        </w:tc>
      </w:tr>
      <w:tr>
        <w:tc>
          <w:tcPr>
            <w:tcW w:type="dxa" w:w="5089"/>
          </w:tcPr>
          <w:p>
            <w:pPr>
              <w:keepNext w:val="0"/>
              <w:spacing w:before="0" w:after="0" w:line="259" w:lineRule="auto"/>
            </w:pPr>
            <w:r/>
            <w:r>
              <w:rPr>
                <w:rFonts w:ascii="Calibri" w:hAnsi="Calibri"/>
                <w:b w:val="0"/>
                <w:color w:val="26313D"/>
                <w:sz w:val="24"/>
              </w:rPr>
              <w:t>People who disagree are boring.</w:t>
            </w:r>
          </w:p>
        </w:tc>
        <w:tc>
          <w:tcPr>
            <w:tcW w:type="dxa" w:w="5089"/>
          </w:tcPr>
          <w:p>
            <w:pPr>
              <w:keepNext w:val="0"/>
              <w:spacing w:before="0" w:after="0" w:line="259" w:lineRule="auto"/>
            </w:pPr>
            <w:r/>
            <w:r>
              <w:rPr>
                <w:rFonts w:ascii="Calibri" w:hAnsi="Calibri"/>
                <w:b w:val="0"/>
                <w:color w:val="26313D"/>
                <w:sz w:val="24"/>
              </w:rPr>
              <w:t>Some people worry the equipment could be lost. We could count it.</w:t>
            </w:r>
          </w:p>
        </w:tc>
      </w:tr>
    </w:tbl>
    <w:p>
      <w:pPr>
        <w:keepNext w:val="0"/>
        <w:spacing w:before="0" w:after="40" w:line="276" w:lineRule="auto"/>
      </w:pPr>
    </w:p>
    <w:p>
      <w:pPr>
        <w:keepNext w:val="0"/>
        <w:spacing w:before="90" w:after="90" w:line="276" w:lineRule="auto"/>
        <w:shd w:fill="FFF2D8"/>
        <w:pBdr>
          <w:left w:val="single" w:sz="22" w:space="8" w:color="B96559"/>
        </w:pBdr>
      </w:pPr>
      <w:r>
        <w:rPr>
          <w:rFonts w:ascii="Calibri" w:hAnsi="Calibri"/>
          <w:b/>
          <w:color w:val="B96559"/>
          <w:sz w:val="21"/>
        </w:rPr>
        <w:t xml:space="preserve">You are finished when: </w:t>
      </w:r>
      <w:r>
        <w:rPr>
          <w:rFonts w:ascii="Calibri" w:hAnsi="Calibri"/>
          <w:color w:val="26313D"/>
          <w:sz w:val="21"/>
        </w:rPr>
        <w:t>You have one idea, one real worry, one helpful action and you say your idea again.</w:t>
      </w:r>
    </w:p>
    <w:sectPr w:rsidR="00FC693F" w:rsidRPr="0006063C" w:rsidSect="00034616">
      <w:headerReference w:type="default" r:id="rId9"/>
      <w:footerReference w:type="default" r:id="rId10"/>
      <w:pgSz w:w="11906" w:h="16838"/>
      <w:pgMar w:top="864" w:right="864" w:bottom="864" w:left="864"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40" w:lineRule="auto"/>
      <w:jc w:val="center"/>
    </w:pPr>
    <w:r>
      <w:rPr>
        <w:rFonts w:ascii="Calibri" w:hAnsi="Calibri"/>
        <w:color w:val="65717E"/>
        <w:sz w:val="15"/>
      </w:rPr>
      <w:t>Concise Access Pack  |  The Borrow Box</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jc w:val="right"/>
    </w:pPr>
    <w:r>
      <w:rPr>
        <w:rFonts w:ascii="Calibri" w:hAnsi="Calibri"/>
        <w:b/>
        <w:color w:val="65717E"/>
        <w:sz w:val="15"/>
      </w:rPr>
      <w:t>ENGLISH UNIT 3  |  LESSON 23 ALTERNATIVE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300" w:lineRule="auto"/>
    </w:pPr>
    <w:rPr>
      <w:rFonts w:ascii="Calibri" w:hAnsi="Calibri"/>
      <w:color w:val="26313D"/>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line="240" w:lineRule="auto"/>
      <w:outlineLvl w:val="0"/>
    </w:pPr>
    <w:rPr>
      <w:rFonts w:asciiTheme="majorHAnsi" w:eastAsiaTheme="majorEastAsia" w:hAnsiTheme="majorHAnsi" w:cstheme="majorBidi" w:ascii="Calibri" w:hAnsi="Calibri"/>
      <w:b/>
      <w:bCs/>
      <w:color w:val="314B68"/>
      <w:sz w:val="30"/>
      <w:szCs w:val="28"/>
    </w:rPr>
  </w:style>
  <w:style w:type="paragraph" w:styleId="Heading2">
    <w:name w:val="heading 2"/>
    <w:basedOn w:val="Normal"/>
    <w:next w:val="Normal"/>
    <w:link w:val="Heading2Char"/>
    <w:uiPriority w:val="9"/>
    <w:unhideWhenUsed/>
    <w:qFormat/>
    <w:rsid w:val="00FC693F"/>
    <w:pPr>
      <w:keepNext/>
      <w:keepLines/>
      <w:spacing w:before="140" w:after="80" w:line="240" w:lineRule="auto"/>
      <w:outlineLvl w:val="1"/>
    </w:pPr>
    <w:rPr>
      <w:rFonts w:asciiTheme="majorHAnsi" w:eastAsiaTheme="majorEastAsia" w:hAnsiTheme="majorHAnsi" w:cstheme="majorBidi" w:ascii="Calibri" w:hAnsi="Calibri"/>
      <w:b/>
      <w:bCs/>
      <w:color w:val="497C79"/>
      <w:sz w:val="25"/>
      <w:szCs w:val="26"/>
    </w:rPr>
  </w:style>
  <w:style w:type="paragraph" w:styleId="Heading3">
    <w:name w:val="heading 3"/>
    <w:basedOn w:val="Normal"/>
    <w:next w:val="Normal"/>
    <w:link w:val="Heading3Char"/>
    <w:uiPriority w:val="9"/>
    <w:unhideWhenUsed/>
    <w:qFormat/>
    <w:rsid w:val="00FC693F"/>
    <w:pPr>
      <w:keepNext/>
      <w:keepLines/>
      <w:spacing w:before="100" w:after="60" w:line="240" w:lineRule="auto"/>
      <w:outlineLvl w:val="2"/>
    </w:pPr>
    <w:rPr>
      <w:rFonts w:asciiTheme="majorHAnsi" w:eastAsiaTheme="majorEastAsia" w:hAnsiTheme="majorHAnsi" w:cstheme="majorBidi" w:ascii="Calibri" w:hAnsi="Calibri"/>
      <w:b/>
      <w:bCs/>
      <w:color w:val="314B6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ind w:left="540" w:hanging="271"/>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ind w:left="540" w:hanging="271"/>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