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97C79"/>
          <w:sz w:val="18"/>
        </w:rPr>
        <w:t>ORIGINAL CLASSROOM FEATURE</w:t>
      </w:r>
    </w:p>
    <w:p>
      <w:pPr>
        <w:keepNext/>
        <w:spacing w:before="0" w:after="60" w:line="240" w:lineRule="auto"/>
      </w:pPr>
      <w:r>
        <w:rPr>
          <w:rFonts w:ascii="Calibri" w:hAnsi="Calibri"/>
          <w:b/>
          <w:color w:val="26364C"/>
          <w:sz w:val="46"/>
        </w:rPr>
        <w:t>The Borrow Box</w:t>
      </w:r>
    </w:p>
    <w:p>
      <w:pPr>
        <w:keepNext w:val="0"/>
        <w:spacing w:before="0" w:after="160" w:line="252" w:lineRule="auto"/>
        <w:pBdr>
          <w:bottom w:val="single" w:sz="16" w:space="8" w:color="E5B85B"/>
        </w:pBdr>
      </w:pPr>
      <w:r>
        <w:rPr>
          <w:rFonts w:ascii="Calibri" w:hAnsi="Calibri"/>
          <w:i/>
          <w:color w:val="65717E"/>
          <w:sz w:val="23"/>
        </w:rPr>
        <w:t>A good lunchtime idea still has to answer fair questions.</w:t>
      </w:r>
    </w:p>
    <w:p>
      <w:pPr>
        <w:keepNext w:val="0"/>
        <w:spacing w:before="0" w:after="120" w:line="240" w:lineRule="auto"/>
        <w:jc w:val="right"/>
      </w:pPr>
      <w:r>
        <w:rPr>
          <w:rFonts w:ascii="Calibri" w:hAnsi="Calibri"/>
          <w:b/>
          <w:color w:val="65717E"/>
          <w:sz w:val="17"/>
        </w:rPr>
        <w:t>READ  |  MARK C / ? / R / X</w:t>
      </w:r>
    </w:p>
    <w:p>
      <w:pPr>
        <w:keepNext w:val="0"/>
        <w:spacing w:before="90" w:after="90" w:line="276" w:lineRule="auto"/>
        <w:shd w:fill="EAF4F0"/>
        <w:pBdr>
          <w:left w:val="single" w:sz="22" w:space="8" w:color="497C79"/>
        </w:pBdr>
      </w:pPr>
      <w:r>
        <w:rPr>
          <w:rFonts w:ascii="Calibri" w:hAnsi="Calibri"/>
          <w:b/>
          <w:color w:val="497C79"/>
          <w:sz w:val="21"/>
        </w:rPr>
        <w:t xml:space="preserve">Decision: </w:t>
      </w:r>
      <w:r>
        <w:rPr>
          <w:rFonts w:ascii="Calibri" w:hAnsi="Calibri"/>
          <w:color w:val="26313D"/>
          <w:sz w:val="21"/>
        </w:rPr>
        <w:t>Should the fictional Riverbank Primary trial a Borrow Box: shared lunchtime equipment that students can sign out and return?</w:t>
      </w:r>
    </w:p>
    <w:p>
      <w:pPr>
        <w:keepNext w:val="0"/>
        <w:spacing w:before="90" w:after="90" w:line="276" w:lineRule="auto"/>
        <w:shd w:fill="FFF2D8"/>
        <w:pBdr>
          <w:left w:val="single" w:sz="22" w:space="8" w:color="B96559"/>
        </w:pBdr>
      </w:pPr>
      <w:r>
        <w:rPr>
          <w:rFonts w:ascii="Calibri" w:hAnsi="Calibri"/>
          <w:b/>
          <w:color w:val="B96559"/>
          <w:sz w:val="21"/>
        </w:rPr>
        <w:t xml:space="preserve">Fiction boundary: </w:t>
      </w:r>
      <w:r>
        <w:rPr>
          <w:rFonts w:ascii="Calibri" w:hAnsi="Calibri"/>
          <w:color w:val="26313D"/>
          <w:sz w:val="21"/>
        </w:rPr>
        <w:t>Riverbank Primary, all people, quotations and school details are invented for this lesson. Read the feature as a shared persuasive text, not a report about a real school.</w:t>
      </w:r>
    </w:p>
    <w:p>
      <w:pPr>
        <w:pStyle w:val="Heading1"/>
        <w:keepNext/>
        <w:spacing w:before="180" w:after="100" w:line="240" w:lineRule="auto"/>
      </w:pPr>
      <w:r>
        <w:rPr>
          <w:rFonts w:ascii="Calibri" w:hAnsi="Calibri"/>
          <w:b/>
          <w:color w:val="314B68"/>
          <w:sz w:val="30"/>
        </w:rPr>
        <w:t>The empty crate beside the oval</w:t>
      </w:r>
    </w:p>
    <w:p>
      <w:pPr>
        <w:keepNext w:val="0"/>
        <w:spacing w:before="0" w:after="80" w:line="276" w:lineRule="auto"/>
      </w:pPr>
      <w:r>
        <w:rPr>
          <w:rFonts w:ascii="Calibri" w:hAnsi="Calibri"/>
          <w:b w:val="0"/>
          <w:i w:val="0"/>
          <w:color w:val="26313D"/>
          <w:sz w:val="21"/>
        </w:rPr>
        <w:t>At the first Student Voice meeting of term, Imani placed an empty blue crate in the middle of the table. 'This is the Borrow Box,' she said. 'Not yet, anyway.' Her plan was simple: at the beginning of lunch, students could borrow skipping ropes, chalk, soft balls, card games and drawing boards. At the end, they would return each item to the labelled crate.</w:t>
      </w:r>
    </w:p>
    <w:p>
      <w:pPr>
        <w:keepNext w:val="0"/>
        <w:spacing w:before="0" w:after="80" w:line="276" w:lineRule="auto"/>
      </w:pPr>
      <w:r>
        <w:rPr>
          <w:rFonts w:ascii="Calibri" w:hAnsi="Calibri"/>
          <w:b w:val="0"/>
          <w:i w:val="0"/>
          <w:color w:val="26313D"/>
          <w:sz w:val="21"/>
        </w:rPr>
        <w:t>Imani had noticed that the basketball court filled quickly while other students waited near the fence or sat on the steps. Some wanted an active game but did not have equipment. Others wanted a quieter choice. She believed a small shared collection could make lunch feel more welcoming without telling anyone what kind of play they had to choose.</w:t>
      </w:r>
    </w:p>
    <w:p>
      <w:pPr>
        <w:keepNext w:val="0"/>
        <w:spacing w:before="90" w:after="90" w:line="276" w:lineRule="auto"/>
        <w:shd w:fill="FFF2D8"/>
        <w:pBdr>
          <w:left w:val="single" w:sz="22" w:space="8" w:color="E5B85B"/>
        </w:pBdr>
      </w:pPr>
      <w:r>
        <w:rPr>
          <w:rFonts w:ascii="Calibri" w:hAnsi="Calibri"/>
          <w:b/>
          <w:color w:val="E5B85B"/>
          <w:sz w:val="21"/>
        </w:rPr>
        <w:t xml:space="preserve">Imani's claim: </w:t>
      </w:r>
      <w:r>
        <w:rPr>
          <w:rFonts w:ascii="Calibri" w:hAnsi="Calibri"/>
          <w:color w:val="26313D"/>
          <w:sz w:val="21"/>
        </w:rPr>
        <w:t>Riverbank Primary should run a four-week Borrow Box trial at lunch and review what it teaches us.</w:t>
      </w:r>
    </w:p>
    <w:p>
      <w:pPr>
        <w:keepNext w:val="0"/>
        <w:spacing w:before="0" w:after="80" w:line="276" w:lineRule="auto"/>
      </w:pPr>
      <w:r>
        <w:rPr>
          <w:rFonts w:ascii="Calibri" w:hAnsi="Calibri"/>
          <w:b w:val="0"/>
          <w:i w:val="0"/>
          <w:color w:val="26313D"/>
          <w:sz w:val="21"/>
        </w:rPr>
        <w:t>Her first poster ended with: 'Anyone against the Borrow Box wants students to be bored.' Mr Patel, the teacher helping Student Voice, asked her to pause. The sentence made disagreement sound selfish. It did not tell readers what a careful person might genuinely worry about.</w:t>
      </w:r>
    </w:p>
    <w:p>
      <w:pPr>
        <w:pStyle w:val="Heading1"/>
        <w:keepNext/>
        <w:spacing w:before="180" w:after="100" w:line="240" w:lineRule="auto"/>
      </w:pPr>
      <w:r>
        <w:rPr>
          <w:rFonts w:ascii="Calibri" w:hAnsi="Calibri"/>
          <w:b/>
          <w:color w:val="314B68"/>
          <w:sz w:val="30"/>
        </w:rPr>
        <w:t>The questions behind the yes</w:t>
      </w:r>
    </w:p>
    <w:p>
      <w:pPr>
        <w:keepNext w:val="0"/>
        <w:spacing w:before="0" w:after="80" w:line="276" w:lineRule="auto"/>
      </w:pPr>
      <w:r>
        <w:rPr>
          <w:rFonts w:ascii="Calibri" w:hAnsi="Calibri"/>
          <w:b w:val="0"/>
          <w:i w:val="0"/>
          <w:color w:val="26313D"/>
          <w:sz w:val="21"/>
        </w:rPr>
        <w:t>Jayden, who had helped pack away sports gear after a carnival, liked the idea but pointed to the blue crate. 'What happens when a ball disappears, or when one group keeps the same things all lunch?' he asked. A quiet student, Elif, added another question: 'Will the box only have loud games? Sometimes I want something to do with one friend.'</w:t>
      </w:r>
    </w:p>
    <w:p>
      <w:pPr>
        <w:keepNext w:val="0"/>
        <w:spacing w:before="0" w:after="80" w:line="276" w:lineRule="auto"/>
      </w:pPr>
      <w:r>
        <w:rPr>
          <w:rFonts w:ascii="Calibri" w:hAnsi="Calibri"/>
          <w:b w:val="0"/>
          <w:i w:val="0"/>
          <w:color w:val="26313D"/>
          <w:sz w:val="21"/>
        </w:rPr>
        <w:t>Mr Patel did not call these students negative. Their questions were useful because they named what a proposal would need to solve: shared equipment must be returned, access needs to be fair, and a helpful option should not create a new exclusion. These were counterarguments - fair concerns that an audience could hold even when they liked the purpose of the idea.</w:t>
      </w:r>
    </w:p>
    <w:p>
      <w:pPr>
        <w:keepNext w:val="0"/>
        <w:spacing w:before="90" w:after="90" w:line="276" w:lineRule="auto"/>
        <w:shd w:fill="EAF4F0"/>
        <w:pBdr>
          <w:left w:val="single" w:sz="22" w:space="8" w:color="497C79"/>
        </w:pBdr>
      </w:pPr>
      <w:r>
        <w:rPr>
          <w:rFonts w:ascii="Calibri" w:hAnsi="Calibri"/>
          <w:b/>
          <w:color w:val="497C79"/>
          <w:sz w:val="21"/>
        </w:rPr>
        <w:t xml:space="preserve">Mark the feature: </w:t>
      </w:r>
      <w:r>
        <w:rPr>
          <w:rFonts w:ascii="Calibri" w:hAnsi="Calibri"/>
          <w:color w:val="26313D"/>
          <w:sz w:val="21"/>
        </w:rPr>
        <w:t>C = claim or action | ? = genuine concern | R = response, reason or safeguard | X = unfair dismissal or assumed motive</w:t>
      </w:r>
    </w:p>
    <w:p>
      <w:r>
        <w:br w:type="page"/>
      </w:r>
    </w:p>
    <w:p>
      <w:pPr>
        <w:pStyle w:val="Heading1"/>
        <w:keepNext/>
        <w:spacing w:before="180" w:after="100" w:line="240" w:lineRule="auto"/>
      </w:pPr>
      <w:r>
        <w:rPr>
          <w:rFonts w:ascii="Calibri" w:hAnsi="Calibri"/>
          <w:b/>
          <w:color w:val="314B68"/>
          <w:sz w:val="30"/>
        </w:rPr>
        <w:t>A response that fits the worry</w:t>
      </w:r>
    </w:p>
    <w:p>
      <w:pPr>
        <w:keepNext w:val="0"/>
        <w:spacing w:before="0" w:after="80" w:line="276" w:lineRule="auto"/>
      </w:pPr>
      <w:r>
        <w:rPr>
          <w:rFonts w:ascii="Calibri" w:hAnsi="Calibri"/>
          <w:b w:val="0"/>
          <w:i w:val="0"/>
          <w:color w:val="26313D"/>
          <w:sz w:val="21"/>
        </w:rPr>
        <w:t>Imani rewrote the poster. She began by admitting that shared equipment could be lost and that a busy collection line could waste lunch time. She explained why this mattered: a system that causes frustration or uses money carelessly would not be fair to students or staff. Then she offered a response instead of a slogan.</w:t>
      </w:r>
    </w:p>
    <w:p>
      <w:pPr>
        <w:keepNext w:val="0"/>
        <w:spacing w:before="90" w:after="90" w:line="276" w:lineRule="auto"/>
        <w:shd w:fill="EAF4F0"/>
        <w:pBdr>
          <w:left w:val="single" w:sz="22" w:space="8" w:color="497C79"/>
        </w:pBdr>
      </w:pPr>
      <w:r>
        <w:rPr>
          <w:rFonts w:ascii="Calibri" w:hAnsi="Calibri"/>
          <w:b/>
          <w:color w:val="497C79"/>
          <w:sz w:val="21"/>
        </w:rPr>
        <w:t xml:space="preserve">Imani's revised response: </w:t>
      </w:r>
      <w:r>
        <w:rPr>
          <w:rFonts w:ascii="Calibri" w:hAnsi="Calibri"/>
          <w:color w:val="26313D"/>
          <w:sz w:val="21"/>
        </w:rPr>
        <w:t>Some people may worry that equipment will be lost or that a queue will take too long. Those are sensible concerns because a shared system must be fair and easy to use. However, a labelled tub, a quick sign-out card and a five-minute collection window would let us test a routine instead of guessing. The Borrow Box should begin as a four-week trial, with an end-of-lunch count and a record of waiting time.</w:t>
      </w:r>
    </w:p>
    <w:p>
      <w:pPr>
        <w:keepNext w:val="0"/>
        <w:spacing w:before="0" w:after="80" w:line="276" w:lineRule="auto"/>
      </w:pPr>
      <w:r>
        <w:rPr>
          <w:rFonts w:ascii="Calibri" w:hAnsi="Calibri"/>
          <w:b w:val="0"/>
          <w:i w:val="0"/>
          <w:color w:val="26313D"/>
          <w:sz w:val="21"/>
        </w:rPr>
        <w:t>The revised response does not promise that every item will return or that every student will enjoy the same activity. It offers a small action that can be checked. The group also planned to include chalk and drawing boards alongside active equipment, and to ask students which choices were missing. A good rebuttal answers the concern it has acknowledged; it does not pretend the concern disappeared.</w:t>
      </w:r>
    </w:p>
    <w:p>
      <w:pPr>
        <w:pStyle w:val="Heading1"/>
        <w:keepNext/>
        <w:spacing w:before="180" w:after="100" w:line="240" w:lineRule="auto"/>
      </w:pPr>
      <w:r>
        <w:rPr>
          <w:rFonts w:ascii="Calibri" w:hAnsi="Calibri"/>
          <w:b/>
          <w:color w:val="314B68"/>
          <w:sz w:val="30"/>
        </w:rPr>
        <w:t>Three responses - only one is a rebuttal</w:t>
      </w:r>
    </w:p>
    <w:tbl>
      <w:tblPr>
        <w:tblStyle w:val="TableGrid"/>
        <w:tblW w:type="dxa" w:w="10178"/>
        <w:jc w:val="left"/>
        <w:tblLayout w:type="fixed"/>
        <w:tblLook w:firstColumn="1" w:firstRow="1" w:lastColumn="0" w:lastRow="0" w:noHBand="0" w:noVBand="1" w:val="04A0"/>
        <w:tblInd w:w="120" w:type="dxa"/>
      </w:tblPr>
      <w:tblGrid>
        <w:gridCol w:w="4800"/>
        <w:gridCol w:w="5378"/>
      </w:tblGrid>
      <w:tr>
        <w:trPr>
          <w:cantSplit/>
          <w:tblHeader w:val="true"/>
        </w:trPr>
        <w:tc>
          <w:tcPr>
            <w:tcW w:type="dxa" w:w="48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Response</w:t>
            </w:r>
          </w:p>
        </w:tc>
        <w:tc>
          <w:tcPr>
            <w:tcW w:type="dxa" w:w="5378"/>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What it does</w:t>
            </w:r>
          </w:p>
        </w:tc>
      </w:tr>
      <w:tr>
        <w:tc>
          <w:tcPr>
            <w:tcW w:type="dxa" w:w="4800"/>
          </w:tcPr>
          <w:p>
            <w:pPr>
              <w:keepNext w:val="0"/>
              <w:spacing w:before="0" w:after="0" w:line="259" w:lineRule="auto"/>
            </w:pPr>
            <w:r/>
            <w:r>
              <w:rPr>
                <w:rFonts w:ascii="Calibri" w:hAnsi="Calibri"/>
                <w:b w:val="0"/>
                <w:color w:val="26313D"/>
                <w:sz w:val="18"/>
              </w:rPr>
              <w:t>'Fun is more important than waiting.'</w:t>
            </w:r>
          </w:p>
        </w:tc>
        <w:tc>
          <w:tcPr>
            <w:tcW w:type="dxa" w:w="5378"/>
          </w:tcPr>
          <w:p>
            <w:pPr>
              <w:keepNext w:val="0"/>
              <w:spacing w:before="0" w:after="0" w:line="259" w:lineRule="auto"/>
            </w:pPr>
            <w:r/>
            <w:r>
              <w:rPr>
                <w:rFonts w:ascii="Calibri" w:hAnsi="Calibri"/>
                <w:b w:val="0"/>
                <w:color w:val="26313D"/>
                <w:sz w:val="18"/>
              </w:rPr>
              <w:t>Repeats the original opinion. It does not answer how waiting could be reduced.</w:t>
            </w:r>
          </w:p>
        </w:tc>
      </w:tr>
      <w:tr>
        <w:tc>
          <w:tcPr>
            <w:tcW w:type="dxa" w:w="4800"/>
            <w:shd w:fill="F7FAFB"/>
          </w:tcPr>
          <w:p>
            <w:pPr>
              <w:keepNext w:val="0"/>
              <w:spacing w:before="0" w:after="0" w:line="259" w:lineRule="auto"/>
            </w:pPr>
            <w:r/>
            <w:r>
              <w:rPr>
                <w:rFonts w:ascii="Calibri" w:hAnsi="Calibri"/>
                <w:b w:val="0"/>
                <w:color w:val="26313D"/>
                <w:sz w:val="18"/>
              </w:rPr>
              <w:t>'People who complain about queues never support good ideas.'</w:t>
            </w:r>
          </w:p>
        </w:tc>
        <w:tc>
          <w:tcPr>
            <w:tcW w:type="dxa" w:w="5378"/>
            <w:shd w:fill="F7FAFB"/>
          </w:tcPr>
          <w:p>
            <w:pPr>
              <w:keepNext w:val="0"/>
              <w:spacing w:before="0" w:after="0" w:line="259" w:lineRule="auto"/>
            </w:pPr>
            <w:r/>
            <w:r>
              <w:rPr>
                <w:rFonts w:ascii="Calibri" w:hAnsi="Calibri"/>
                <w:b w:val="0"/>
                <w:color w:val="26313D"/>
                <w:sz w:val="18"/>
              </w:rPr>
              <w:t>Attacks people and assumes motives. This is not a fair counterargument or rebuttal.</w:t>
            </w:r>
          </w:p>
        </w:tc>
      </w:tr>
      <w:tr>
        <w:tc>
          <w:tcPr>
            <w:tcW w:type="dxa" w:w="4800"/>
          </w:tcPr>
          <w:p>
            <w:pPr>
              <w:keepNext w:val="0"/>
              <w:spacing w:before="0" w:after="0" w:line="259" w:lineRule="auto"/>
            </w:pPr>
            <w:r/>
            <w:r>
              <w:rPr>
                <w:rFonts w:ascii="Calibri" w:hAnsi="Calibri"/>
                <w:b w:val="0"/>
                <w:color w:val="26313D"/>
                <w:sz w:val="18"/>
              </w:rPr>
              <w:t>'A five-minute collection window and class roster could limit waiting time; the trial can record whether that works.'</w:t>
            </w:r>
          </w:p>
        </w:tc>
        <w:tc>
          <w:tcPr>
            <w:tcW w:type="dxa" w:w="5378"/>
          </w:tcPr>
          <w:p>
            <w:pPr>
              <w:keepNext w:val="0"/>
              <w:spacing w:before="0" w:after="0" w:line="259" w:lineRule="auto"/>
            </w:pPr>
            <w:r/>
            <w:r>
              <w:rPr>
                <w:rFonts w:ascii="Calibri" w:hAnsi="Calibri"/>
                <w:b w:val="0"/>
                <w:color w:val="26313D"/>
                <w:sz w:val="18"/>
              </w:rPr>
              <w:t>Answers the queue concern with a relevant, testable safeguard.</w:t>
            </w:r>
          </w:p>
        </w:tc>
      </w:tr>
    </w:tbl>
    <w:p>
      <w:pPr>
        <w:keepNext w:val="0"/>
        <w:spacing w:before="0" w:after="40" w:line="276" w:lineRule="auto"/>
      </w:pPr>
    </w:p>
    <w:p>
      <w:pPr>
        <w:pStyle w:val="Heading1"/>
        <w:keepNext/>
        <w:spacing w:before="180" w:after="100" w:line="240" w:lineRule="auto"/>
      </w:pPr>
      <w:r>
        <w:rPr>
          <w:rFonts w:ascii="Calibri" w:hAnsi="Calibri"/>
          <w:b/>
          <w:color w:val="314B68"/>
          <w:sz w:val="30"/>
        </w:rPr>
        <w:t>The writer's bridge</w:t>
      </w:r>
    </w:p>
    <w:tbl>
      <w:tblPr>
        <w:tblStyle w:val="TableGrid"/>
        <w:tblW w:type="dxa" w:w="10178"/>
        <w:jc w:val="left"/>
        <w:tblLayout w:type="fixed"/>
        <w:tblLook w:firstColumn="1" w:firstRow="1" w:lastColumn="0" w:lastRow="0" w:noHBand="0" w:noVBand="1" w:val="04A0"/>
        <w:tblInd w:w="120" w:type="dxa"/>
      </w:tblPr>
      <w:tblGrid>
        <w:gridCol w:w="1800"/>
        <w:gridCol w:w="3500"/>
        <w:gridCol w:w="4878"/>
      </w:tblGrid>
      <w:tr>
        <w:trPr>
          <w:cantSplit/>
          <w:tblHeader w:val="true"/>
        </w:trPr>
        <w:tc>
          <w:tcPr>
            <w:tcW w:type="dxa" w:w="18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Move</w:t>
            </w:r>
          </w:p>
        </w:tc>
        <w:tc>
          <w:tcPr>
            <w:tcW w:type="dxa" w:w="35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Question</w:t>
            </w:r>
          </w:p>
        </w:tc>
        <w:tc>
          <w:tcPr>
            <w:tcW w:type="dxa" w:w="4878"/>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Useful language</w:t>
            </w:r>
          </w:p>
        </w:tc>
      </w:tr>
      <w:tr>
        <w:tc>
          <w:tcPr>
            <w:tcW w:type="dxa" w:w="1800"/>
          </w:tcPr>
          <w:p>
            <w:pPr>
              <w:keepNext w:val="0"/>
              <w:spacing w:before="0" w:after="0" w:line="259" w:lineRule="auto"/>
            </w:pPr>
            <w:r/>
            <w:r>
              <w:rPr>
                <w:rFonts w:ascii="Calibri" w:hAnsi="Calibri"/>
                <w:b w:val="0"/>
                <w:color w:val="26313D"/>
                <w:sz w:val="17"/>
              </w:rPr>
              <w:t>Claim</w:t>
            </w:r>
          </w:p>
        </w:tc>
        <w:tc>
          <w:tcPr>
            <w:tcW w:type="dxa" w:w="3500"/>
          </w:tcPr>
          <w:p>
            <w:pPr>
              <w:keepNext w:val="0"/>
              <w:spacing w:before="0" w:after="0" w:line="259" w:lineRule="auto"/>
            </w:pPr>
            <w:r/>
            <w:r>
              <w:rPr>
                <w:rFonts w:ascii="Calibri" w:hAnsi="Calibri"/>
                <w:b w:val="0"/>
                <w:color w:val="26313D"/>
                <w:sz w:val="17"/>
              </w:rPr>
              <w:t>What do I recommend?</w:t>
            </w:r>
          </w:p>
        </w:tc>
        <w:tc>
          <w:tcPr>
            <w:tcW w:type="dxa" w:w="4878"/>
          </w:tcPr>
          <w:p>
            <w:pPr>
              <w:keepNext w:val="0"/>
              <w:spacing w:before="0" w:after="0" w:line="259" w:lineRule="auto"/>
            </w:pPr>
            <w:r/>
            <w:r>
              <w:rPr>
                <w:rFonts w:ascii="Calibri" w:hAnsi="Calibri"/>
                <w:b w:val="0"/>
                <w:color w:val="26313D"/>
                <w:sz w:val="17"/>
              </w:rPr>
              <w:t>The school should...</w:t>
            </w:r>
          </w:p>
        </w:tc>
      </w:tr>
      <w:tr>
        <w:tc>
          <w:tcPr>
            <w:tcW w:type="dxa" w:w="1800"/>
            <w:shd w:fill="F7FAFB"/>
          </w:tcPr>
          <w:p>
            <w:pPr>
              <w:keepNext w:val="0"/>
              <w:spacing w:before="0" w:after="0" w:line="259" w:lineRule="auto"/>
            </w:pPr>
            <w:r/>
            <w:r>
              <w:rPr>
                <w:rFonts w:ascii="Calibri" w:hAnsi="Calibri"/>
                <w:b w:val="0"/>
                <w:color w:val="26313D"/>
                <w:sz w:val="17"/>
              </w:rPr>
              <w:t>Acknowledge</w:t>
            </w:r>
          </w:p>
        </w:tc>
        <w:tc>
          <w:tcPr>
            <w:tcW w:type="dxa" w:w="3500"/>
            <w:shd w:fill="F7FAFB"/>
          </w:tcPr>
          <w:p>
            <w:pPr>
              <w:keepNext w:val="0"/>
              <w:spacing w:before="0" w:after="0" w:line="259" w:lineRule="auto"/>
            </w:pPr>
            <w:r/>
            <w:r>
              <w:rPr>
                <w:rFonts w:ascii="Calibri" w:hAnsi="Calibri"/>
                <w:b w:val="0"/>
                <w:color w:val="26313D"/>
                <w:sz w:val="17"/>
              </w:rPr>
              <w:t>What could a careful audience worry about?</w:t>
            </w:r>
          </w:p>
        </w:tc>
        <w:tc>
          <w:tcPr>
            <w:tcW w:type="dxa" w:w="4878"/>
            <w:shd w:fill="F7FAFB"/>
          </w:tcPr>
          <w:p>
            <w:pPr>
              <w:keepNext w:val="0"/>
              <w:spacing w:before="0" w:after="0" w:line="259" w:lineRule="auto"/>
            </w:pPr>
            <w:r/>
            <w:r>
              <w:rPr>
                <w:rFonts w:ascii="Calibri" w:hAnsi="Calibri"/>
                <w:b w:val="0"/>
                <w:color w:val="26313D"/>
                <w:sz w:val="17"/>
              </w:rPr>
              <w:t>Some people may worry... This matters because...</w:t>
            </w:r>
          </w:p>
        </w:tc>
      </w:tr>
      <w:tr>
        <w:tc>
          <w:tcPr>
            <w:tcW w:type="dxa" w:w="1800"/>
          </w:tcPr>
          <w:p>
            <w:pPr>
              <w:keepNext w:val="0"/>
              <w:spacing w:before="0" w:after="0" w:line="259" w:lineRule="auto"/>
            </w:pPr>
            <w:r/>
            <w:r>
              <w:rPr>
                <w:rFonts w:ascii="Calibri" w:hAnsi="Calibri"/>
                <w:b w:val="0"/>
                <w:color w:val="26313D"/>
                <w:sz w:val="17"/>
              </w:rPr>
              <w:t>Connect</w:t>
            </w:r>
          </w:p>
        </w:tc>
        <w:tc>
          <w:tcPr>
            <w:tcW w:type="dxa" w:w="3500"/>
          </w:tcPr>
          <w:p>
            <w:pPr>
              <w:keepNext w:val="0"/>
              <w:spacing w:before="0" w:after="0" w:line="259" w:lineRule="auto"/>
            </w:pPr>
            <w:r/>
            <w:r>
              <w:rPr>
                <w:rFonts w:ascii="Calibri" w:hAnsi="Calibri"/>
                <w:b w:val="0"/>
                <w:color w:val="26313D"/>
                <w:sz w:val="17"/>
              </w:rPr>
              <w:t>What reason, detail or safeguard answers that worry?</w:t>
            </w:r>
          </w:p>
        </w:tc>
        <w:tc>
          <w:tcPr>
            <w:tcW w:type="dxa" w:w="4878"/>
          </w:tcPr>
          <w:p>
            <w:pPr>
              <w:keepNext w:val="0"/>
              <w:spacing w:before="0" w:after="0" w:line="259" w:lineRule="auto"/>
            </w:pPr>
            <w:r/>
            <w:r>
              <w:rPr>
                <w:rFonts w:ascii="Calibri" w:hAnsi="Calibri"/>
                <w:b w:val="0"/>
                <w:color w:val="26313D"/>
                <w:sz w:val="17"/>
              </w:rPr>
              <w:t>However, we could... This would...</w:t>
            </w:r>
          </w:p>
        </w:tc>
      </w:tr>
      <w:tr>
        <w:tc>
          <w:tcPr>
            <w:tcW w:type="dxa" w:w="1800"/>
            <w:shd w:fill="F7FAFB"/>
          </w:tcPr>
          <w:p>
            <w:pPr>
              <w:keepNext w:val="0"/>
              <w:spacing w:before="0" w:after="0" w:line="259" w:lineRule="auto"/>
            </w:pPr>
            <w:r/>
            <w:r>
              <w:rPr>
                <w:rFonts w:ascii="Calibri" w:hAnsi="Calibri"/>
                <w:b w:val="0"/>
                <w:color w:val="26313D"/>
                <w:sz w:val="17"/>
              </w:rPr>
              <w:t>Keep the claim</w:t>
            </w:r>
          </w:p>
        </w:tc>
        <w:tc>
          <w:tcPr>
            <w:tcW w:type="dxa" w:w="3500"/>
            <w:shd w:fill="F7FAFB"/>
          </w:tcPr>
          <w:p>
            <w:pPr>
              <w:keepNext w:val="0"/>
              <w:spacing w:before="0" w:after="0" w:line="259" w:lineRule="auto"/>
            </w:pPr>
            <w:r/>
            <w:r>
              <w:rPr>
                <w:rFonts w:ascii="Calibri" w:hAnsi="Calibri"/>
                <w:b w:val="0"/>
                <w:color w:val="26313D"/>
                <w:sz w:val="17"/>
              </w:rPr>
              <w:t>What measured action should happen next?</w:t>
            </w:r>
          </w:p>
        </w:tc>
        <w:tc>
          <w:tcPr>
            <w:tcW w:type="dxa" w:w="4878"/>
            <w:shd w:fill="F7FAFB"/>
          </w:tcPr>
          <w:p>
            <w:pPr>
              <w:keepNext w:val="0"/>
              <w:spacing w:before="0" w:after="0" w:line="259" w:lineRule="auto"/>
            </w:pPr>
            <w:r/>
            <w:r>
              <w:rPr>
                <w:rFonts w:ascii="Calibri" w:hAnsi="Calibri"/>
                <w:b w:val="0"/>
                <w:color w:val="26313D"/>
                <w:sz w:val="17"/>
              </w:rPr>
              <w:t>Therefore, the school should trial... and review...</w:t>
            </w:r>
          </w:p>
        </w:tc>
      </w:tr>
    </w:tbl>
    <w:p>
      <w:pPr>
        <w:keepNext w:val="0"/>
        <w:spacing w:before="0" w:after="40" w:line="276" w:lineRule="auto"/>
      </w:pPr>
    </w:p>
    <w:p>
      <w:pPr>
        <w:keepNext w:val="0"/>
        <w:spacing w:before="90" w:after="90" w:line="276" w:lineRule="auto"/>
        <w:shd w:fill="FFF2D8"/>
        <w:pBdr>
          <w:left w:val="single" w:sz="22" w:space="8" w:color="B96559"/>
        </w:pBdr>
      </w:pPr>
      <w:r>
        <w:rPr>
          <w:rFonts w:ascii="Calibri" w:hAnsi="Calibri"/>
          <w:b/>
          <w:color w:val="B96559"/>
          <w:sz w:val="21"/>
        </w:rPr>
        <w:t xml:space="preserve">Letter challenge: </w:t>
      </w:r>
      <w:r>
        <w:rPr>
          <w:rFonts w:ascii="Calibri" w:hAnsi="Calibri"/>
          <w:color w:val="26313D"/>
          <w:sz w:val="21"/>
        </w:rPr>
        <w:t>Write to the fictional principal. Recommend, change or reject the Borrow Box trial. Whatever you decide, represent one fair concern and answer it with a reasoned, workable response.</w:t>
      </w:r>
    </w:p>
    <w:p>
      <w:r>
        <w:br w:type="page"/>
      </w:r>
    </w:p>
    <w:p>
      <w:pPr>
        <w:pStyle w:val="Heading1"/>
        <w:keepNext/>
        <w:spacing w:before="180" w:after="100" w:line="240" w:lineRule="auto"/>
      </w:pPr>
      <w:r>
        <w:rPr>
          <w:rFonts w:ascii="Calibri" w:hAnsi="Calibri"/>
          <w:b/>
          <w:color w:val="314B68"/>
          <w:sz w:val="30"/>
        </w:rPr>
        <w:t>Counterargument field guide</w:t>
      </w:r>
    </w:p>
    <w:tbl>
      <w:tblPr>
        <w:tblStyle w:val="TableGrid"/>
        <w:tblW w:type="dxa" w:w="10178"/>
        <w:jc w:val="left"/>
        <w:tblLayout w:type="fixed"/>
        <w:tblLook w:firstColumn="1" w:firstRow="1" w:lastColumn="0" w:lastRow="0" w:noHBand="0" w:noVBand="1" w:val="04A0"/>
        <w:tblInd w:w="120" w:type="dxa"/>
      </w:tblPr>
      <w:tblGrid>
        <w:gridCol w:w="2100"/>
        <w:gridCol w:w="4750"/>
        <w:gridCol w:w="3328"/>
      </w:tblGrid>
      <w:tr>
        <w:trPr>
          <w:cantSplit/>
          <w:tblHeader w:val="true"/>
        </w:trPr>
        <w:tc>
          <w:tcPr>
            <w:tcW w:type="dxa" w:w="210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Term</w:t>
            </w:r>
          </w:p>
        </w:tc>
        <w:tc>
          <w:tcPr>
            <w:tcW w:type="dxa" w:w="4750"/>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What it means</w:t>
            </w:r>
          </w:p>
        </w:tc>
        <w:tc>
          <w:tcPr>
            <w:tcW w:type="dxa" w:w="3328"/>
            <w:vAlign w:val="center"/>
            <w:tcMar>
              <w:top w:w="90" w:type="dxa"/>
              <w:start w:w="120" w:type="dxa"/>
              <w:bottom w:w="90" w:type="dxa"/>
              <w:end w:w="120" w:type="dxa"/>
            </w:tcMar>
            <w:shd w:fill="314B68"/>
          </w:tcPr>
          <w:p>
            <w:pPr>
              <w:keepNext w:val="0"/>
              <w:spacing w:before="0" w:after="0" w:line="259" w:lineRule="auto"/>
              <w:jc w:val="center"/>
            </w:pPr>
            <w:r/>
            <w:r>
              <w:rPr>
                <w:rFonts w:ascii="Calibri" w:hAnsi="Calibri"/>
                <w:b/>
                <w:color w:val="FFFFFF"/>
                <w:sz w:val="18"/>
              </w:rPr>
              <w:t>Quick test</w:t>
            </w:r>
          </w:p>
        </w:tc>
      </w:tr>
      <w:tr>
        <w:tc>
          <w:tcPr>
            <w:tcW w:type="dxa" w:w="2100"/>
          </w:tcPr>
          <w:p>
            <w:pPr>
              <w:keepNext w:val="0"/>
              <w:spacing w:before="0" w:after="0" w:line="259" w:lineRule="auto"/>
            </w:pPr>
            <w:r/>
            <w:r>
              <w:rPr>
                <w:rFonts w:ascii="Calibri" w:hAnsi="Calibri"/>
                <w:b w:val="0"/>
                <w:color w:val="26313D"/>
                <w:sz w:val="18"/>
              </w:rPr>
              <w:t>Counterargument</w:t>
            </w:r>
          </w:p>
        </w:tc>
        <w:tc>
          <w:tcPr>
            <w:tcW w:type="dxa" w:w="4750"/>
          </w:tcPr>
          <w:p>
            <w:pPr>
              <w:keepNext w:val="0"/>
              <w:spacing w:before="0" w:after="0" w:line="259" w:lineRule="auto"/>
            </w:pPr>
            <w:r/>
            <w:r>
              <w:rPr>
                <w:rFonts w:ascii="Calibri" w:hAnsi="Calibri"/>
                <w:b w:val="0"/>
                <w:color w:val="26313D"/>
                <w:sz w:val="18"/>
              </w:rPr>
              <w:t>A fair concern or opposing view that an audience could genuinely hold.</w:t>
            </w:r>
          </w:p>
        </w:tc>
        <w:tc>
          <w:tcPr>
            <w:tcW w:type="dxa" w:w="3328"/>
          </w:tcPr>
          <w:p>
            <w:pPr>
              <w:keepNext w:val="0"/>
              <w:spacing w:before="0" w:after="0" w:line="259" w:lineRule="auto"/>
            </w:pPr>
            <w:r/>
            <w:r>
              <w:rPr>
                <w:rFonts w:ascii="Calibri" w:hAnsi="Calibri"/>
                <w:b w:val="0"/>
                <w:color w:val="26313D"/>
                <w:sz w:val="18"/>
              </w:rPr>
              <w:t>Would the other person recognise this as their real concern?</w:t>
            </w:r>
          </w:p>
        </w:tc>
      </w:tr>
      <w:tr>
        <w:tc>
          <w:tcPr>
            <w:tcW w:type="dxa" w:w="2100"/>
            <w:shd w:fill="F7FAFB"/>
          </w:tcPr>
          <w:p>
            <w:pPr>
              <w:keepNext w:val="0"/>
              <w:spacing w:before="0" w:after="0" w:line="259" w:lineRule="auto"/>
            </w:pPr>
            <w:r/>
            <w:r>
              <w:rPr>
                <w:rFonts w:ascii="Calibri" w:hAnsi="Calibri"/>
                <w:b w:val="0"/>
                <w:color w:val="26313D"/>
                <w:sz w:val="18"/>
              </w:rPr>
              <w:t>Straw man</w:t>
            </w:r>
          </w:p>
        </w:tc>
        <w:tc>
          <w:tcPr>
            <w:tcW w:type="dxa" w:w="4750"/>
            <w:shd w:fill="F7FAFB"/>
          </w:tcPr>
          <w:p>
            <w:pPr>
              <w:keepNext w:val="0"/>
              <w:spacing w:before="0" w:after="0" w:line="259" w:lineRule="auto"/>
            </w:pPr>
            <w:r/>
            <w:r>
              <w:rPr>
                <w:rFonts w:ascii="Calibri" w:hAnsi="Calibri"/>
                <w:b w:val="0"/>
                <w:color w:val="26313D"/>
                <w:sz w:val="18"/>
              </w:rPr>
              <w:t>A weak, exaggerated or invented version of the other view.</w:t>
            </w:r>
          </w:p>
        </w:tc>
        <w:tc>
          <w:tcPr>
            <w:tcW w:type="dxa" w:w="3328"/>
            <w:shd w:fill="F7FAFB"/>
          </w:tcPr>
          <w:p>
            <w:pPr>
              <w:keepNext w:val="0"/>
              <w:spacing w:before="0" w:after="0" w:line="259" w:lineRule="auto"/>
            </w:pPr>
            <w:r/>
            <w:r>
              <w:rPr>
                <w:rFonts w:ascii="Calibri" w:hAnsi="Calibri"/>
                <w:b w:val="0"/>
                <w:color w:val="26313D"/>
                <w:sz w:val="18"/>
              </w:rPr>
              <w:t>Have I made the concern easier to knock down?</w:t>
            </w:r>
          </w:p>
        </w:tc>
      </w:tr>
      <w:tr>
        <w:tc>
          <w:tcPr>
            <w:tcW w:type="dxa" w:w="2100"/>
          </w:tcPr>
          <w:p>
            <w:pPr>
              <w:keepNext w:val="0"/>
              <w:spacing w:before="0" w:after="0" w:line="259" w:lineRule="auto"/>
            </w:pPr>
            <w:r/>
            <w:r>
              <w:rPr>
                <w:rFonts w:ascii="Calibri" w:hAnsi="Calibri"/>
                <w:b w:val="0"/>
                <w:color w:val="26313D"/>
                <w:sz w:val="18"/>
              </w:rPr>
              <w:t>Rebuttal</w:t>
            </w:r>
          </w:p>
        </w:tc>
        <w:tc>
          <w:tcPr>
            <w:tcW w:type="dxa" w:w="4750"/>
          </w:tcPr>
          <w:p>
            <w:pPr>
              <w:keepNext w:val="0"/>
              <w:spacing w:before="0" w:after="0" w:line="259" w:lineRule="auto"/>
            </w:pPr>
            <w:r/>
            <w:r>
              <w:rPr>
                <w:rFonts w:ascii="Calibri" w:hAnsi="Calibri"/>
                <w:b w:val="0"/>
                <w:color w:val="26313D"/>
                <w:sz w:val="18"/>
              </w:rPr>
              <w:t>A reasoned answer that addresses the exact concern.</w:t>
            </w:r>
          </w:p>
        </w:tc>
        <w:tc>
          <w:tcPr>
            <w:tcW w:type="dxa" w:w="3328"/>
          </w:tcPr>
          <w:p>
            <w:pPr>
              <w:keepNext w:val="0"/>
              <w:spacing w:before="0" w:after="0" w:line="259" w:lineRule="auto"/>
            </w:pPr>
            <w:r/>
            <w:r>
              <w:rPr>
                <w:rFonts w:ascii="Calibri" w:hAnsi="Calibri"/>
                <w:b w:val="0"/>
                <w:color w:val="26313D"/>
                <w:sz w:val="18"/>
              </w:rPr>
              <w:t>Does my response match the concern word for word or idea for idea?</w:t>
            </w:r>
          </w:p>
        </w:tc>
      </w:tr>
      <w:tr>
        <w:tc>
          <w:tcPr>
            <w:tcW w:type="dxa" w:w="2100"/>
            <w:shd w:fill="F7FAFB"/>
          </w:tcPr>
          <w:p>
            <w:pPr>
              <w:keepNext w:val="0"/>
              <w:spacing w:before="0" w:after="0" w:line="259" w:lineRule="auto"/>
            </w:pPr>
            <w:r/>
            <w:r>
              <w:rPr>
                <w:rFonts w:ascii="Calibri" w:hAnsi="Calibri"/>
                <w:b w:val="0"/>
                <w:color w:val="26313D"/>
                <w:sz w:val="18"/>
              </w:rPr>
              <w:t>Safeguard</w:t>
            </w:r>
          </w:p>
        </w:tc>
        <w:tc>
          <w:tcPr>
            <w:tcW w:type="dxa" w:w="4750"/>
            <w:shd w:fill="F7FAFB"/>
          </w:tcPr>
          <w:p>
            <w:pPr>
              <w:keepNext w:val="0"/>
              <w:spacing w:before="0" w:after="0" w:line="259" w:lineRule="auto"/>
            </w:pPr>
            <w:r/>
            <w:r>
              <w:rPr>
                <w:rFonts w:ascii="Calibri" w:hAnsi="Calibri"/>
                <w:b w:val="0"/>
                <w:color w:val="26313D"/>
                <w:sz w:val="18"/>
              </w:rPr>
              <w:t>A practical detail that makes an action safer, fairer or more workable.</w:t>
            </w:r>
          </w:p>
        </w:tc>
        <w:tc>
          <w:tcPr>
            <w:tcW w:type="dxa" w:w="3328"/>
            <w:shd w:fill="F7FAFB"/>
          </w:tcPr>
          <w:p>
            <w:pPr>
              <w:keepNext w:val="0"/>
              <w:spacing w:before="0" w:after="0" w:line="259" w:lineRule="auto"/>
            </w:pPr>
            <w:r/>
            <w:r>
              <w:rPr>
                <w:rFonts w:ascii="Calibri" w:hAnsi="Calibri"/>
                <w:b w:val="0"/>
                <w:color w:val="26313D"/>
                <w:sz w:val="18"/>
              </w:rPr>
              <w:t>Could someone actually do this during the trial?</w:t>
            </w:r>
          </w:p>
        </w:tc>
      </w:tr>
    </w:tbl>
    <w:p>
      <w:pPr>
        <w:keepNext w:val="0"/>
        <w:spacing w:before="0" w:after="40" w:line="276" w:lineRule="auto"/>
      </w:pPr>
    </w:p>
    <w:p>
      <w:pPr>
        <w:pStyle w:val="Heading1"/>
        <w:keepNext/>
        <w:spacing w:before="180" w:after="100" w:line="240" w:lineRule="auto"/>
      </w:pPr>
      <w:r>
        <w:rPr>
          <w:rFonts w:ascii="Calibri" w:hAnsi="Calibri"/>
          <w:b/>
          <w:color w:val="314B68"/>
          <w:sz w:val="30"/>
        </w:rPr>
        <w:t>Independent reading check</w:t>
      </w:r>
    </w:p>
    <w:p>
      <w:pPr>
        <w:pStyle w:val="ListBullet"/>
        <w:keepNext w:val="0"/>
        <w:spacing w:before="0" w:after="80" w:line="276" w:lineRule="auto"/>
      </w:pPr>
      <w:r>
        <w:rPr>
          <w:rFonts w:ascii="Calibri" w:hAnsi="Calibri"/>
          <w:color w:val="26313D"/>
          <w:sz w:val="21"/>
        </w:rPr>
        <w:t>Copy Imani's claim in your own words.</w:t>
      </w:r>
    </w:p>
    <w:p>
      <w:pPr>
        <w:pStyle w:val="ListBullet"/>
        <w:keepNext w:val="0"/>
        <w:spacing w:before="0" w:after="80" w:line="276" w:lineRule="auto"/>
      </w:pPr>
      <w:r>
        <w:rPr>
          <w:rFonts w:ascii="Calibri" w:hAnsi="Calibri"/>
          <w:color w:val="26313D"/>
          <w:sz w:val="21"/>
        </w:rPr>
        <w:t>Record one fair concern from Jayden or Elif.</w:t>
      </w:r>
    </w:p>
    <w:p>
      <w:pPr>
        <w:pStyle w:val="ListBullet"/>
        <w:keepNext w:val="0"/>
        <w:spacing w:before="0" w:after="80" w:line="276" w:lineRule="auto"/>
      </w:pPr>
      <w:r>
        <w:rPr>
          <w:rFonts w:ascii="Calibri" w:hAnsi="Calibri"/>
          <w:color w:val="26313D"/>
          <w:sz w:val="21"/>
        </w:rPr>
        <w:t>Underline the exact safeguard that answers the queue concern.</w:t>
      </w:r>
    </w:p>
    <w:p>
      <w:pPr>
        <w:pStyle w:val="ListBullet"/>
        <w:keepNext w:val="0"/>
        <w:spacing w:before="0" w:after="80" w:line="276" w:lineRule="auto"/>
      </w:pPr>
      <w:r>
        <w:rPr>
          <w:rFonts w:ascii="Calibri" w:hAnsi="Calibri"/>
          <w:color w:val="26313D"/>
          <w:sz w:val="21"/>
        </w:rPr>
        <w:t>Explain why Imani's first poster sentence is unfair.</w:t>
      </w:r>
    </w:p>
    <w:p>
      <w:pPr>
        <w:pStyle w:val="ListBullet"/>
        <w:keepNext w:val="0"/>
        <w:spacing w:before="0" w:after="80" w:line="276" w:lineRule="auto"/>
      </w:pPr>
      <w:r>
        <w:rPr>
          <w:rFonts w:ascii="Calibri" w:hAnsi="Calibri"/>
          <w:color w:val="26313D"/>
          <w:sz w:val="21"/>
        </w:rPr>
        <w:t>Write one question that would make the Borrow Box proposal stronger.</w:t>
      </w:r>
    </w:p>
    <w:p>
      <w:pPr>
        <w:keepNext w:val="0"/>
        <w:spacing w:before="90" w:after="90" w:line="276" w:lineRule="auto"/>
        <w:shd w:fill="EEF1F5"/>
        <w:pBdr>
          <w:left w:val="single" w:sz="22" w:space="8" w:color="314B68"/>
        </w:pBdr>
      </w:pPr>
      <w:r>
        <w:rPr>
          <w:rFonts w:ascii="Calibri" w:hAnsi="Calibri"/>
          <w:b/>
          <w:color w:val="314B68"/>
          <w:sz w:val="21"/>
        </w:rPr>
        <w:t xml:space="preserve">Source note: </w:t>
      </w:r>
      <w:r>
        <w:rPr>
          <w:rFonts w:ascii="Calibri" w:hAnsi="Calibri"/>
          <w:color w:val="26313D"/>
          <w:sz w:val="21"/>
        </w:rPr>
        <w:t>This is an original fictional classroom feature. Its purpose is to provide a shared, bounded text for analysing counterarguments and rebuttals. No outside factual claims are required for the lesson.</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5717E"/>
        <w:sz w:val="15"/>
      </w:rPr>
      <w:t>Student Reading Pack  |  The Borrow Box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5717E"/>
        <w:sz w:val="15"/>
      </w:rPr>
      <w:t>ENGLISH UNIT 3  |  LESSON 23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314B68"/>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97C79"/>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314B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