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line="240"/>
      </w:pPr>
      <w:r>
        <w:rPr>
          <w:rFonts w:ascii="Aptos" w:cs="Aptos" w:eastAsia="Aptos" w:hAnsi="Aptos"/>
          <w:b/>
          <w:bCs/>
          <w:color w:val="A15C3B"/>
          <w:sz w:val="17"/>
          <w:szCs w:val="17"/>
        </w:rPr>
        <w:t xml:space="preserve">ENGLISH UNIT 3 | LESSON 25 ALTERNATIVE</w:t>
      </w:r>
    </w:p>
    <w:p>
      <w:pPr>
        <w:spacing w:after="30" w:before="0" w:line="240"/>
      </w:pPr>
      <w:r>
        <w:rPr>
          <w:rFonts w:ascii="Aptos" w:cs="Aptos" w:eastAsia="Aptos" w:hAnsi="Aptos"/>
          <w:b/>
          <w:bCs/>
          <w:color w:val="123E4A"/>
          <w:sz w:val="44"/>
          <w:szCs w:val="44"/>
        </w:rPr>
        <w:t xml:space="preserve">When the Lantern Went Dark</w:t>
      </w:r>
    </w:p>
    <w:p>
      <w:pPr>
        <w:spacing w:after="220" w:before="0" w:line="240"/>
      </w:pPr>
      <w:r>
        <w:rPr>
          <w:rFonts w:ascii="Aptos" w:cs="Aptos" w:eastAsia="Aptos" w:hAnsi="Aptos"/>
          <w:b w:val="false"/>
          <w:bCs w:val="false"/>
          <w:color w:val="476D72"/>
          <w:sz w:val="21"/>
          <w:szCs w:val="21"/>
        </w:rPr>
        <w:t xml:space="preserve">A fictional community feature about an emergency, a difficult choice and what courage can persuade us to do next.</w:t>
      </w:r>
    </w:p>
    <w:p>
      <w:pPr>
        <w:spacing w:after="160" w:before="0" w:line="240"/>
      </w:pPr>
      <w:r>
        <w:rPr>
          <w:rFonts w:ascii="Aptos" w:cs="Aptos" w:eastAsia="Aptos" w:hAnsi="Aptos"/>
          <w:b/>
          <w:bCs/>
          <w:color w:val="7C4C17"/>
          <w:sz w:val="18"/>
          <w:szCs w:val="18"/>
        </w:rPr>
        <w:t xml:space="preserve">This is an original fictional text. Treat its events as material for close reading, not as real-world evidence.</w:t>
      </w:r>
    </w:p>
    <w:p>
      <w:pPr>
        <w:spacing w:after="30" w:before="90" w:line="240"/>
      </w:pPr>
      <w:r>
        <w:rPr>
          <w:rFonts w:ascii="Aptos" w:cs="Aptos" w:eastAsia="Aptos" w:hAnsi="Aptos"/>
          <w:b/>
          <w:bCs/>
          <w:color w:val="21626A"/>
          <w:sz w:val="27"/>
          <w:szCs w:val="27"/>
        </w:rPr>
        <w:t xml:space="preserve">A warning no one could ignore</w:t>
      </w:r>
    </w:p>
    <w:p>
      <w:pPr>
        <w:spacing w:after="100" w:before="0" w:line="240"/>
      </w:pPr>
      <w:r>
        <w:rPr>
          <w:rFonts w:ascii="Aptos" w:cs="Aptos" w:eastAsia="Aptos" w:hAnsi="Aptos"/>
          <w:b w:val="false"/>
          <w:bCs w:val="false"/>
          <w:color w:val="173D45"/>
          <w:sz w:val="20"/>
          <w:szCs w:val="20"/>
        </w:rPr>
        <w:t xml:space="preserve">On the afternoon of the Bay Festival, the lantern on the old Harbour Light Jetty went dark. The jetty was not open to visitors after the storm, but the unlit lantern mattered: it marked the shallow channel that the community fishing boats used to return home. At first, people gathered on the foreshore and waited for an adult to solve it. Then Nia noticed something else: a small rescue dinghy had become caught in drifting rope near the jetty steps.</w:t>
      </w:r>
    </w:p>
    <w:p>
      <w:pPr>
        <w:spacing w:after="30" w:before="90" w:line="240"/>
      </w:pPr>
      <w:r>
        <w:rPr>
          <w:rFonts w:ascii="Aptos" w:cs="Aptos" w:eastAsia="Aptos" w:hAnsi="Aptos"/>
          <w:b/>
          <w:bCs/>
          <w:color w:val="21626A"/>
          <w:sz w:val="27"/>
          <w:szCs w:val="27"/>
        </w:rPr>
        <w:t xml:space="preserve">The choice</w:t>
      </w:r>
    </w:p>
    <w:p>
      <w:pPr>
        <w:spacing w:after="100" w:before="0" w:line="240"/>
      </w:pPr>
      <w:r>
        <w:rPr>
          <w:rFonts w:ascii="Aptos" w:cs="Aptos" w:eastAsia="Aptos" w:hAnsi="Aptos"/>
          <w:b w:val="false"/>
          <w:bCs w:val="false"/>
          <w:color w:val="173D45"/>
          <w:sz w:val="20"/>
          <w:szCs w:val="20"/>
        </w:rPr>
        <w:t xml:space="preserve">Nia had been collecting rubbish for the festival clean-up with her cousin, Ravi. They could see the rope tightening whenever the tide pushed the dinghy sideways. Ravi wanted to run straight onto the jetty. Nia stopped him. The storm had loosened boards and the waves were still high. Instead, she used the public emergency phone beside the kiosk, described the rope, the dark lantern and the position of the dinghy, and asked the festival coordinator to keep people back from the water.</w:t>
      </w:r>
    </w:p>
    <w:p>
      <w:pPr>
        <w:spacing w:after="30" w:before="90" w:line="240"/>
      </w:pPr>
      <w:r>
        <w:rPr>
          <w:rFonts w:ascii="Aptos" w:cs="Aptos" w:eastAsia="Aptos" w:hAnsi="Aptos"/>
          <w:b/>
          <w:bCs/>
          <w:color w:val="21626A"/>
          <w:sz w:val="27"/>
          <w:szCs w:val="27"/>
        </w:rPr>
        <w:t xml:space="preserve">Courage is not careless</w:t>
      </w:r>
    </w:p>
    <w:p>
      <w:pPr>
        <w:spacing w:after="100" w:before="0" w:line="240"/>
      </w:pPr>
      <w:r>
        <w:rPr>
          <w:rFonts w:ascii="Aptos" w:cs="Aptos" w:eastAsia="Aptos" w:hAnsi="Aptos"/>
          <w:b w:val="false"/>
          <w:bCs w:val="false"/>
          <w:color w:val="173D45"/>
          <w:sz w:val="20"/>
          <w:szCs w:val="20"/>
        </w:rPr>
        <w:t xml:space="preserve">While they waited, Nia did not pretend she felt calm. She worried that the dinghy would scrape against the pylons and that people would blame them for not doing more. Still, she kept giving clear updates. When the marine rescue crew arrived, they used a long pole and safety line to free the dinghy. A technician restored the lantern before dusk. The important turning point was not a dramatic leap onto the jetty. It was Nia choosing a safe action that made expert help possible.</w:t>
      </w:r>
    </w:p>
    <w:p>
      <w:pPr>
        <w:spacing w:after="30" w:before="90" w:line="240"/>
      </w:pPr>
      <w:r>
        <w:rPr>
          <w:rFonts w:ascii="Aptos" w:cs="Aptos" w:eastAsia="Aptos" w:hAnsi="Aptos"/>
          <w:b/>
          <w:bCs/>
          <w:color w:val="21626A"/>
          <w:sz w:val="27"/>
          <w:szCs w:val="27"/>
        </w:rPr>
        <w:t xml:space="preserve">What changed afterwards</w:t>
      </w:r>
    </w:p>
    <w:p>
      <w:pPr>
        <w:spacing w:after="100" w:before="0" w:line="240"/>
      </w:pPr>
      <w:r>
        <w:rPr>
          <w:rFonts w:ascii="Aptos" w:cs="Aptos" w:eastAsia="Aptos" w:hAnsi="Aptos"/>
          <w:b w:val="false"/>
          <w:bCs w:val="false"/>
          <w:color w:val="173D45"/>
          <w:sz w:val="20"/>
          <w:szCs w:val="20"/>
        </w:rPr>
        <w:t xml:space="preserve">The next week, the festival committee proposed a 'Look, Call, Clear' sign near the foreshore. The sign would remind visitors to notice hazards, call for help and keep a safe space clear for trained responders. Some residents said a sign would be unnecessary because adults already know what to do. Others worried that the message might make children feel responsible for emergencies. Nia's account offered a more careful idea: a sign cannot replace adults or trained crews, but it can help everyone recognise when stopping, reporting and making room is a brave kind of action.</w:t>
      </w:r>
    </w:p>
    <w:p>
      <w:pPr>
        <w:spacing w:after="30" w:before="90" w:line="240"/>
      </w:pPr>
      <w:r>
        <w:rPr>
          <w:rFonts w:ascii="Aptos" w:cs="Aptos" w:eastAsia="Aptos" w:hAnsi="Aptos"/>
          <w:b/>
          <w:bCs/>
          <w:color w:val="21626A"/>
          <w:sz w:val="27"/>
          <w:szCs w:val="27"/>
        </w:rPr>
        <w:t xml:space="preserve">A claim worth sharing</w:t>
      </w:r>
    </w:p>
    <w:p>
      <w:pPr>
        <w:spacing w:after="100" w:before="0" w:line="240"/>
      </w:pPr>
      <w:r>
        <w:rPr>
          <w:rFonts w:ascii="Aptos" w:cs="Aptos" w:eastAsia="Aptos" w:hAnsi="Aptos"/>
          <w:b w:val="false"/>
          <w:bCs w:val="false"/>
          <w:color w:val="173D45"/>
          <w:sz w:val="20"/>
          <w:szCs w:val="20"/>
        </w:rPr>
        <w:t xml:space="preserve">The Harbour Light story suggests that courage is not always loud. It can mean noticing a real problem, accepting that you cannot solve it alone and taking the next safe step. That idea matters beyond the jetty. A community works better when people do not ignore a risk simply because they feel unsure. The proposed sign should be trialled for the next festival because it turns one frightening moment into a practical invitation: see the problem, seek help and leave space for others to act safely.</w:t>
      </w:r>
    </w:p>
    <w:p>
      <w:pPr>
        <w:spacing w:after="50" w:before="100" w:line="240"/>
      </w:pPr>
      <w:r>
        <w:rPr>
          <w:rFonts w:ascii="Aptos" w:cs="Aptos" w:eastAsia="Aptos" w:hAnsi="Aptos"/>
          <w:b/>
          <w:bCs/>
          <w:color w:val="21626A"/>
          <w:sz w:val="27"/>
          <w:szCs w:val="27"/>
        </w:rPr>
        <w:t xml:space="preserve">Reading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B8D0D1" w:sz="4"/>
              <w:left w:val="single" w:color="B8D0D1" w:sz="4"/>
              <w:bottom w:val="single" w:color="B8D0D1" w:sz="4"/>
              <w:right w:val="single" w:color="B8D0D1" w:sz="4"/>
            </w:tcBorders>
            <w:shd w:fill="123E4A"/>
            <w:tcMar>
              <w:top w:type="dxa" w:w="120"/>
              <w:left w:type="dxa" w:w="140"/>
              <w:bottom w:type="dxa" w:w="120"/>
              <w:right w:type="dxa" w:w="140"/>
            </w:tcMar>
          </w:tcPr>
          <w:p>
            <w:pPr>
              <w:spacing w:after="0" w:before="0" w:line="240"/>
            </w:pPr>
            <w:r>
              <w:rPr>
                <w:rFonts w:ascii="Aptos" w:cs="Aptos" w:eastAsia="Aptos" w:hAnsi="Aptos"/>
                <w:b/>
                <w:bCs/>
                <w:color w:val="FFFFFF"/>
                <w:sz w:val="19"/>
                <w:szCs w:val="19"/>
              </w:rPr>
              <w:t xml:space="preserve">Find</w:t>
            </w:r>
          </w:p>
        </w:tc>
        <w:tc>
          <w:tcPr>
            <w:tcW w:type="dxa" w:w="3120"/>
            <w:tcBorders>
              <w:top w:val="single" w:color="B8D0D1" w:sz="4"/>
              <w:left w:val="single" w:color="B8D0D1" w:sz="4"/>
              <w:bottom w:val="single" w:color="B8D0D1" w:sz="4"/>
              <w:right w:val="single" w:color="B8D0D1" w:sz="4"/>
            </w:tcBorders>
            <w:shd w:fill="123E4A"/>
            <w:tcMar>
              <w:top w:type="dxa" w:w="120"/>
              <w:left w:type="dxa" w:w="140"/>
              <w:bottom w:type="dxa" w:w="120"/>
              <w:right w:type="dxa" w:w="140"/>
            </w:tcMar>
          </w:tcPr>
          <w:p>
            <w:pPr>
              <w:spacing w:after="0" w:before="0" w:line="240"/>
            </w:pPr>
            <w:r>
              <w:rPr>
                <w:rFonts w:ascii="Aptos" w:cs="Aptos" w:eastAsia="Aptos" w:hAnsi="Aptos"/>
                <w:b/>
                <w:bCs/>
                <w:color w:val="FFFFFF"/>
                <w:sz w:val="19"/>
                <w:szCs w:val="19"/>
              </w:rPr>
              <w:t xml:space="preserve">Copy or paraphrase</w:t>
            </w:r>
          </w:p>
        </w:tc>
        <w:tc>
          <w:tcPr>
            <w:tcW w:type="dxa" w:w="3120"/>
            <w:tcBorders>
              <w:top w:val="single" w:color="B8D0D1" w:sz="4"/>
              <w:left w:val="single" w:color="B8D0D1" w:sz="4"/>
              <w:bottom w:val="single" w:color="B8D0D1" w:sz="4"/>
              <w:right w:val="single" w:color="B8D0D1" w:sz="4"/>
            </w:tcBorders>
            <w:shd w:fill="123E4A"/>
            <w:tcMar>
              <w:top w:type="dxa" w:w="120"/>
              <w:left w:type="dxa" w:w="140"/>
              <w:bottom w:type="dxa" w:w="120"/>
              <w:right w:type="dxa" w:w="140"/>
            </w:tcMar>
          </w:tcPr>
          <w:p>
            <w:pPr>
              <w:spacing w:after="0" w:before="0" w:line="240"/>
            </w:pPr>
            <w:r>
              <w:rPr>
                <w:rFonts w:ascii="Aptos" w:cs="Aptos" w:eastAsia="Aptos" w:hAnsi="Aptos"/>
                <w:b/>
                <w:bCs/>
                <w:color w:val="FFFFFF"/>
                <w:sz w:val="19"/>
                <w:szCs w:val="19"/>
              </w:rPr>
              <w:t xml:space="preserve">What it helps you claim</w:t>
            </w:r>
          </w:p>
        </w:tc>
      </w:tr>
      <w:tr>
        <w:tc>
          <w:tcPr>
            <w:tcW w:type="dxa" w:w="3120"/>
            <w:tcBorders>
              <w:top w:val="single" w:color="B8D0D1" w:sz="4"/>
              <w:left w:val="single" w:color="B8D0D1" w:sz="4"/>
              <w:bottom w:val="single" w:color="B8D0D1" w:sz="4"/>
              <w:right w:val="single" w:color="B8D0D1" w:sz="4"/>
            </w:tcBorders>
            <w:tcMar>
              <w:top w:type="dxa" w:w="120"/>
              <w:left w:type="dxa" w:w="140"/>
              <w:bottom w:type="dxa" w:w="120"/>
              <w:right w:type="dxa" w:w="140"/>
            </w:tcMar>
          </w:tcPr>
          <w:p>
            <w:pPr>
              <w:spacing w:after="0" w:before="0" w:line="240"/>
            </w:pPr>
            <w:r>
              <w:rPr>
                <w:rFonts w:ascii="Aptos" w:cs="Aptos" w:eastAsia="Aptos" w:hAnsi="Aptos"/>
                <w:b w:val="false"/>
                <w:bCs w:val="false"/>
                <w:color w:val="173D45"/>
                <w:sz w:val="19"/>
                <w:szCs w:val="19"/>
              </w:rPr>
              <w:t xml:space="preserve">Turning point</w:t>
            </w:r>
          </w:p>
        </w:tc>
        <w:tc>
          <w:tcPr>
            <w:tcW w:type="dxa" w:w="3120"/>
            <w:tcBorders>
              <w:top w:val="single" w:color="B8D0D1" w:sz="4"/>
              <w:left w:val="single" w:color="B8D0D1" w:sz="4"/>
              <w:bottom w:val="single" w:color="B8D0D1" w:sz="4"/>
              <w:right w:val="single" w:color="B8D0D1" w:sz="4"/>
            </w:tcBorders>
            <w:tcMar>
              <w:top w:type="dxa" w:w="120"/>
              <w:left w:type="dxa" w:w="140"/>
              <w:bottom w:type="dxa" w:w="120"/>
              <w:right w:type="dxa" w:w="140"/>
            </w:tcMar>
          </w:tcPr>
          <w:p>
            <w:pPr>
              <w:spacing w:after="0" w:before="0" w:line="240"/>
            </w:pPr>
            <w:r>
              <w:rPr>
                <w:rFonts w:ascii="Aptos" w:cs="Aptos" w:eastAsia="Aptos" w:hAnsi="Aptos"/>
                <w:b w:val="false"/>
                <w:bCs w:val="false"/>
                <w:color w:val="173D45"/>
                <w:sz w:val="19"/>
                <w:szCs w:val="19"/>
              </w:rPr>
              <w:t xml:space="preserve">Nia calls for trained help instead of entering the jetty.</w:t>
            </w:r>
          </w:p>
        </w:tc>
        <w:tc>
          <w:tcPr>
            <w:tcW w:type="dxa" w:w="3120"/>
            <w:tcBorders>
              <w:top w:val="single" w:color="B8D0D1" w:sz="4"/>
              <w:left w:val="single" w:color="B8D0D1" w:sz="4"/>
              <w:bottom w:val="single" w:color="B8D0D1" w:sz="4"/>
              <w:right w:val="single" w:color="B8D0D1" w:sz="4"/>
            </w:tcBorders>
            <w:tcMar>
              <w:top w:type="dxa" w:w="120"/>
              <w:left w:type="dxa" w:w="140"/>
              <w:bottom w:type="dxa" w:w="120"/>
              <w:right w:type="dxa" w:w="140"/>
            </w:tcMar>
          </w:tcPr>
          <w:p>
            <w:pPr>
              <w:spacing w:after="0" w:before="0" w:line="240"/>
            </w:pPr>
            <w:r>
              <w:rPr>
                <w:rFonts w:ascii="Aptos" w:cs="Aptos" w:eastAsia="Aptos" w:hAnsi="Aptos"/>
                <w:b w:val="false"/>
                <w:bCs w:val="false"/>
                <w:color w:val="173D45"/>
                <w:sz w:val="19"/>
                <w:szCs w:val="19"/>
              </w:rPr>
              <w:t xml:space="preserve">Courage can include safe, deliberate action.</w:t>
            </w:r>
          </w:p>
        </w:tc>
      </w:tr>
      <w:tr>
        <w:tc>
          <w:tcPr>
            <w:tcW w:type="dxa" w:w="3120"/>
            <w:tcBorders>
              <w:top w:val="single" w:color="B8D0D1" w:sz="4"/>
              <w:left w:val="single" w:color="B8D0D1" w:sz="4"/>
              <w:bottom w:val="single" w:color="B8D0D1" w:sz="4"/>
              <w:right w:val="single" w:color="B8D0D1" w:sz="4"/>
            </w:tcBorders>
            <w:tcMar>
              <w:top w:type="dxa" w:w="120"/>
              <w:left w:type="dxa" w:w="140"/>
              <w:bottom w:type="dxa" w:w="120"/>
              <w:right w:type="dxa" w:w="140"/>
            </w:tcMar>
          </w:tcPr>
          <w:p>
            <w:pPr>
              <w:spacing w:after="0" w:before="0" w:line="240"/>
            </w:pPr>
            <w:r>
              <w:rPr>
                <w:rFonts w:ascii="Aptos" w:cs="Aptos" w:eastAsia="Aptos" w:hAnsi="Aptos"/>
                <w:b w:val="false"/>
                <w:bCs w:val="false"/>
                <w:color w:val="173D45"/>
                <w:sz w:val="19"/>
                <w:szCs w:val="19"/>
              </w:rPr>
              <w:t xml:space="preserve">Consequence</w:t>
            </w:r>
          </w:p>
        </w:tc>
        <w:tc>
          <w:tcPr>
            <w:tcW w:type="dxa" w:w="3120"/>
            <w:tcBorders>
              <w:top w:val="single" w:color="B8D0D1" w:sz="4"/>
              <w:left w:val="single" w:color="B8D0D1" w:sz="4"/>
              <w:bottom w:val="single" w:color="B8D0D1" w:sz="4"/>
              <w:right w:val="single" w:color="B8D0D1" w:sz="4"/>
            </w:tcBorders>
            <w:tcMar>
              <w:top w:type="dxa" w:w="120"/>
              <w:left w:type="dxa" w:w="140"/>
              <w:bottom w:type="dxa" w:w="120"/>
              <w:right w:type="dxa" w:w="140"/>
            </w:tcMar>
          </w:tcPr>
          <w:p>
            <w:pPr>
              <w:spacing w:after="0" w:before="0" w:line="240"/>
            </w:pPr>
            <w:r>
              <w:rPr>
                <w:rFonts w:ascii="Aptos" w:cs="Aptos" w:eastAsia="Aptos" w:hAnsi="Aptos"/>
                <w:b w:val="false"/>
                <w:bCs w:val="false"/>
                <w:color w:val="173D45"/>
                <w:sz w:val="19"/>
                <w:szCs w:val="19"/>
              </w:rPr>
              <w:t xml:space="preserve">The rescue crew can free the dinghy and restore the light.</w:t>
            </w:r>
          </w:p>
        </w:tc>
        <w:tc>
          <w:tcPr>
            <w:tcW w:type="dxa" w:w="3120"/>
            <w:tcBorders>
              <w:top w:val="single" w:color="B8D0D1" w:sz="4"/>
              <w:left w:val="single" w:color="B8D0D1" w:sz="4"/>
              <w:bottom w:val="single" w:color="B8D0D1" w:sz="4"/>
              <w:right w:val="single" w:color="B8D0D1" w:sz="4"/>
            </w:tcBorders>
            <w:tcMar>
              <w:top w:type="dxa" w:w="120"/>
              <w:left w:type="dxa" w:w="140"/>
              <w:bottom w:type="dxa" w:w="120"/>
              <w:right w:type="dxa" w:w="140"/>
            </w:tcMar>
          </w:tcPr>
          <w:p>
            <w:pPr>
              <w:spacing w:after="0" w:before="0" w:line="240"/>
            </w:pPr>
            <w:r>
              <w:rPr>
                <w:rFonts w:ascii="Aptos" w:cs="Aptos" w:eastAsia="Aptos" w:hAnsi="Aptos"/>
                <w:b w:val="false"/>
                <w:bCs w:val="false"/>
                <w:color w:val="173D45"/>
                <w:sz w:val="19"/>
                <w:szCs w:val="19"/>
              </w:rPr>
              <w:t xml:space="preserve">One choice can make another action possible.</w:t>
            </w:r>
          </w:p>
        </w:tc>
      </w:tr>
      <w:tr>
        <w:tc>
          <w:tcPr>
            <w:tcW w:type="dxa" w:w="3120"/>
            <w:tcBorders>
              <w:top w:val="single" w:color="B8D0D1" w:sz="4"/>
              <w:left w:val="single" w:color="B8D0D1" w:sz="4"/>
              <w:bottom w:val="single" w:color="B8D0D1" w:sz="4"/>
              <w:right w:val="single" w:color="B8D0D1" w:sz="4"/>
            </w:tcBorders>
            <w:tcMar>
              <w:top w:type="dxa" w:w="120"/>
              <w:left w:type="dxa" w:w="140"/>
              <w:bottom w:type="dxa" w:w="120"/>
              <w:right w:type="dxa" w:w="140"/>
            </w:tcMar>
          </w:tcPr>
          <w:p>
            <w:pPr>
              <w:spacing w:after="0" w:before="0" w:line="240"/>
            </w:pPr>
            <w:r>
              <w:rPr>
                <w:rFonts w:ascii="Aptos" w:cs="Aptos" w:eastAsia="Aptos" w:hAnsi="Aptos"/>
                <w:b w:val="false"/>
                <w:bCs w:val="false"/>
                <w:color w:val="173D45"/>
                <w:sz w:val="19"/>
                <w:szCs w:val="19"/>
              </w:rPr>
              <w:t xml:space="preserve">Future action</w:t>
            </w:r>
          </w:p>
        </w:tc>
        <w:tc>
          <w:tcPr>
            <w:tcW w:type="dxa" w:w="3120"/>
            <w:tcBorders>
              <w:top w:val="single" w:color="B8D0D1" w:sz="4"/>
              <w:left w:val="single" w:color="B8D0D1" w:sz="4"/>
              <w:bottom w:val="single" w:color="B8D0D1" w:sz="4"/>
              <w:right w:val="single" w:color="B8D0D1" w:sz="4"/>
            </w:tcBorders>
            <w:tcMar>
              <w:top w:type="dxa" w:w="120"/>
              <w:left w:type="dxa" w:w="140"/>
              <w:bottom w:type="dxa" w:w="120"/>
              <w:right w:type="dxa" w:w="140"/>
            </w:tcMar>
          </w:tcPr>
          <w:p>
            <w:pPr>
              <w:spacing w:after="0" w:before="0" w:line="240"/>
            </w:pPr>
            <w:r>
              <w:rPr>
                <w:rFonts w:ascii="Aptos" w:cs="Aptos" w:eastAsia="Aptos" w:hAnsi="Aptos"/>
                <w:b w:val="false"/>
                <w:bCs w:val="false"/>
                <w:color w:val="173D45"/>
                <w:sz w:val="19"/>
                <w:szCs w:val="19"/>
              </w:rPr>
              <w:t xml:space="preserve">The committee proposes a 'Look, Call, Clear' sign.</w:t>
            </w:r>
          </w:p>
        </w:tc>
        <w:tc>
          <w:tcPr>
            <w:tcW w:type="dxa" w:w="3120"/>
            <w:tcBorders>
              <w:top w:val="single" w:color="B8D0D1" w:sz="4"/>
              <w:left w:val="single" w:color="B8D0D1" w:sz="4"/>
              <w:bottom w:val="single" w:color="B8D0D1" w:sz="4"/>
              <w:right w:val="single" w:color="B8D0D1" w:sz="4"/>
            </w:tcBorders>
            <w:tcMar>
              <w:top w:type="dxa" w:w="120"/>
              <w:left w:type="dxa" w:w="140"/>
              <w:bottom w:type="dxa" w:w="120"/>
              <w:right w:type="dxa" w:w="140"/>
            </w:tcMar>
          </w:tcPr>
          <w:p>
            <w:pPr>
              <w:spacing w:after="0" w:before="0" w:line="240"/>
            </w:pPr>
            <w:r>
              <w:rPr>
                <w:rFonts w:ascii="Aptos" w:cs="Aptos" w:eastAsia="Aptos" w:hAnsi="Aptos"/>
                <w:b w:val="false"/>
                <w:bCs w:val="false"/>
                <w:color w:val="173D45"/>
                <w:sz w:val="19"/>
                <w:szCs w:val="19"/>
              </w:rPr>
              <w:t xml:space="preserve">A story can become a persuasive proposal.</w:t>
            </w:r>
          </w:p>
        </w:tc>
      </w:tr>
    </w:tbl>
    <w:p>
      <w:pPr>
        <w:spacing w:after="40" w:before="130" w:line="240"/>
      </w:pPr>
      <w:r>
        <w:rPr>
          <w:rFonts w:ascii="Aptos" w:cs="Aptos" w:eastAsia="Aptos" w:hAnsi="Aptos"/>
          <w:b/>
          <w:bCs/>
          <w:color w:val="21626A"/>
          <w:sz w:val="27"/>
          <w:szCs w:val="27"/>
        </w:rPr>
        <w:t xml:space="preserve">Talk before you write</w:t>
      </w:r>
    </w:p>
    <w:p>
      <w:pPr>
        <w:spacing w:after="110" w:before="0" w:line="240"/>
      </w:pPr>
      <w:r>
        <w:rPr>
          <w:rFonts w:ascii="Aptos" w:cs="Aptos" w:eastAsia="Aptos" w:hAnsi="Aptos"/>
          <w:b w:val="false"/>
          <w:bCs w:val="false"/>
          <w:color w:val="173D45"/>
          <w:sz w:val="20"/>
          <w:szCs w:val="20"/>
        </w:rPr>
        <w:t xml:space="preserve">1. Which moment is the climax? Defend your choice.</w:t>
      </w:r>
    </w:p>
    <w:p>
      <w:pPr>
        <w:spacing w:after="110" w:before="0" w:line="240"/>
      </w:pPr>
      <w:r>
        <w:rPr>
          <w:rFonts w:ascii="Aptos" w:cs="Aptos" w:eastAsia="Aptos" w:hAnsi="Aptos"/>
          <w:b w:val="false"/>
          <w:bCs w:val="false"/>
          <w:color w:val="173D45"/>
          <w:sz w:val="20"/>
          <w:szCs w:val="20"/>
        </w:rPr>
        <w:t xml:space="preserve">2. How does Nia show care without pretending she can solve the emergency alone?</w:t>
      </w:r>
    </w:p>
    <w:p>
      <w:pPr>
        <w:spacing w:after="110" w:before="0" w:line="240"/>
      </w:pPr>
      <w:r>
        <w:rPr>
          <w:rFonts w:ascii="Aptos" w:cs="Aptos" w:eastAsia="Aptos" w:hAnsi="Aptos"/>
          <w:b w:val="false"/>
          <w:bCs w:val="false"/>
          <w:color w:val="173D45"/>
          <w:sz w:val="20"/>
          <w:szCs w:val="20"/>
        </w:rPr>
        <w:t xml:space="preserve">3. Which detail could support a persuasive claim about courage? Explain the link.</w:t>
      </w:r>
    </w:p>
    <w:sectPr>
      <w:pgSz w:w="11906" w:h="16838" w:orient="portrait"/>
      <w:pgMar w:top="850" w:right="980" w:bottom="850" w:left="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2026-08-12T09:56:39.866Z</dcterms:created>
  <dcterms:modified xsi:type="dcterms:W3CDTF">2026-08-12T09:56:39.866Z</dcterms:modified>
</cp:coreProperties>
</file>

<file path=docProps/custom.xml><?xml version="1.0" encoding="utf-8"?>
<Properties xmlns="http://schemas.openxmlformats.org/officeDocument/2006/custom-properties" xmlns:vt="http://schemas.openxmlformats.org/officeDocument/2006/docPropsVTypes"/>
</file>