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pPr>
      <w:r>
        <w:rPr>
          <w:rFonts w:ascii="Aptos" w:cs="Aptos" w:eastAsia="Aptos" w:hAnsi="Aptos"/>
          <w:b/>
          <w:bCs/>
          <w:color w:val="A15C3B"/>
          <w:sz w:val="17"/>
          <w:szCs w:val="17"/>
        </w:rPr>
        <w:t xml:space="preserve">TEACHER GUIDE | LESSON 25 ALTERNATIVE</w:t>
      </w:r>
    </w:p>
    <w:p>
      <w:pPr>
        <w:spacing w:after="30" w:before="0" w:line="240"/>
      </w:pPr>
      <w:r>
        <w:rPr>
          <w:rFonts w:ascii="Aptos" w:cs="Aptos" w:eastAsia="Aptos" w:hAnsi="Aptos"/>
          <w:b/>
          <w:bCs/>
          <w:color w:val="123E4A"/>
          <w:sz w:val="44"/>
          <w:szCs w:val="44"/>
        </w:rPr>
        <w:t xml:space="preserve">Harbour Light: Climax to Claim</w:t>
      </w:r>
    </w:p>
    <w:p>
      <w:pPr>
        <w:spacing w:after="220" w:before="0" w:line="240"/>
      </w:pPr>
      <w:r>
        <w:rPr>
          <w:rFonts w:ascii="Aptos" w:cs="Aptos" w:eastAsia="Aptos" w:hAnsi="Aptos"/>
          <w:b w:val="false"/>
          <w:bCs w:val="false"/>
          <w:color w:val="476D72"/>
          <w:sz w:val="21"/>
          <w:szCs w:val="21"/>
        </w:rPr>
        <w:t xml:space="preserve">A 50-minute original-text lesson that bridges narrative meaning to persuasive writing.</w:t>
      </w:r>
    </w:p>
    <w:p>
      <w:pPr>
        <w:spacing w:after="110" w:before="0" w:line="240"/>
      </w:pPr>
      <w:r>
        <w:rPr>
          <w:rFonts w:ascii="Aptos" w:cs="Aptos" w:eastAsia="Aptos" w:hAnsi="Aptos"/>
          <w:b/>
          <w:bCs/>
          <w:color w:val="21626A"/>
          <w:sz w:val="27"/>
          <w:szCs w:val="27"/>
        </w:rPr>
        <w:t xml:space="preserve">Teaching focus</w:t>
      </w:r>
    </w:p>
    <w:p>
      <w:pPr>
        <w:spacing w:after="110" w:before="0" w:line="240"/>
      </w:pPr>
      <w:r>
        <w:rPr>
          <w:rFonts w:ascii="Aptos" w:cs="Aptos" w:eastAsia="Aptos" w:hAnsi="Aptos"/>
          <w:b w:val="false"/>
          <w:bCs w:val="false"/>
          <w:color w:val="173D45"/>
          <w:sz w:val="20"/>
          <w:szCs w:val="20"/>
        </w:rPr>
        <w:t xml:space="preserve">Students move from recounting an event to explaining how a character's choice changes what is possible, then use that interpretation as the centre of a short persuasive claim. The fictional reading keeps the focus on reasoning rather than factual research.</w:t>
      </w:r>
    </w:p>
    <w:p>
      <w:pPr>
        <w:spacing w:after="110" w:before="100" w:line="240"/>
      </w:pPr>
      <w:r>
        <w:rPr>
          <w:rFonts w:ascii="Aptos" w:cs="Aptos" w:eastAsia="Aptos" w:hAnsi="Aptos"/>
          <w:b/>
          <w:bCs/>
          <w:color w:val="21626A"/>
          <w:sz w:val="27"/>
          <w:szCs w:val="27"/>
        </w:rPr>
        <w:t xml:space="preserve">Model answer</w:t>
      </w:r>
    </w:p>
    <w:p>
      <w:pPr>
        <w:spacing w:after="110" w:before="0" w:line="240"/>
      </w:pPr>
      <w:r>
        <w:rPr>
          <w:rFonts w:ascii="Aptos" w:cs="Aptos" w:eastAsia="Aptos" w:hAnsi="Aptos"/>
          <w:b w:val="false"/>
          <w:bCs w:val="false"/>
          <w:color w:val="173D45"/>
          <w:sz w:val="20"/>
          <w:szCs w:val="20"/>
        </w:rPr>
        <w:t xml:space="preserve">When the Harbour Light Jetty lantern goes dark and a rescue dinghy catches in rope, Nia chooses to call for trained help rather than enter the unsafe jetty. Her decision lets the rescue crew work safely and restore the light before dusk. This suggests that courage can mean taking the responsible next step even when you feel afraid or cannot solve a problem alone. Nia does not ignore the danger, but she also does not act carelessly. Her choice matters because readers may think bravery always means doing the dramatic thing. The proposed 'Look, Call, Clear' sign should be trialled because it turns that lesson into a practical reminder for the whole community.</w:t>
      </w:r>
    </w:p>
    <w:p>
      <w:pPr>
        <w:spacing w:after="110" w:before="100" w:line="240"/>
      </w:pPr>
      <w:r>
        <w:rPr>
          <w:rFonts w:ascii="Aptos" w:cs="Aptos" w:eastAsia="Aptos" w:hAnsi="Aptos"/>
          <w:b/>
          <w:bCs/>
          <w:color w:val="21626A"/>
          <w:sz w:val="27"/>
          <w:szCs w:val="27"/>
        </w:rPr>
        <w:t xml:space="preserve">Misconceptions to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B8D0D1" w:sz="4"/>
              <w:left w:val="single" w:color="B8D0D1" w:sz="4"/>
              <w:bottom w:val="single" w:color="B8D0D1" w:sz="4"/>
              <w:right w:val="single" w:color="B8D0D1" w:sz="4"/>
            </w:tcBorders>
            <w:shd w:fill="123E4A"/>
            <w:tcMar>
              <w:top w:type="dxa" w:w="120"/>
              <w:left w:type="dxa" w:w="140"/>
              <w:bottom w:type="dxa" w:w="120"/>
              <w:right w:type="dxa" w:w="140"/>
            </w:tcMar>
          </w:tcPr>
          <w:p>
            <w:pPr>
              <w:spacing w:after="0" w:before="0" w:line="240"/>
            </w:pPr>
            <w:r>
              <w:rPr>
                <w:rFonts w:ascii="Aptos" w:cs="Aptos" w:eastAsia="Aptos" w:hAnsi="Aptos"/>
                <w:b/>
                <w:bCs/>
                <w:color w:val="FFFFFF"/>
                <w:sz w:val="19"/>
                <w:szCs w:val="19"/>
              </w:rPr>
              <w:t xml:space="preserve">Likely idea</w:t>
            </w:r>
          </w:p>
        </w:tc>
        <w:tc>
          <w:tcPr>
            <w:tcW w:type="dxa" w:w="3120"/>
            <w:tcBorders>
              <w:top w:val="single" w:color="B8D0D1" w:sz="4"/>
              <w:left w:val="single" w:color="B8D0D1" w:sz="4"/>
              <w:bottom w:val="single" w:color="B8D0D1" w:sz="4"/>
              <w:right w:val="single" w:color="B8D0D1" w:sz="4"/>
            </w:tcBorders>
            <w:shd w:fill="123E4A"/>
            <w:tcMar>
              <w:top w:type="dxa" w:w="120"/>
              <w:left w:type="dxa" w:w="140"/>
              <w:bottom w:type="dxa" w:w="120"/>
              <w:right w:type="dxa" w:w="140"/>
            </w:tcMar>
          </w:tcPr>
          <w:p>
            <w:pPr>
              <w:spacing w:after="0" w:before="0" w:line="240"/>
            </w:pPr>
            <w:r>
              <w:rPr>
                <w:rFonts w:ascii="Aptos" w:cs="Aptos" w:eastAsia="Aptos" w:hAnsi="Aptos"/>
                <w:b/>
                <w:bCs/>
                <w:color w:val="FFFFFF"/>
                <w:sz w:val="19"/>
                <w:szCs w:val="19"/>
              </w:rPr>
              <w:t xml:space="preserve">Responsive prompt</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The climax is simply the most exciting event.</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Which event changes what can happen next?</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Bravery means acting without fear.</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What does Nia feel, and what does she choose despite that feeling?</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A claim is a plot summary.</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What broader idea does this event suggest to a reader?</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The story proves a real fact about emergencies.</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What is fictional here? What evidence would a real proposal need?</w:t>
            </w:r>
          </w:p>
        </w:tc>
      </w:tr>
    </w:tbl>
    <w:p>
      <w:pPr>
        <w:spacing w:after="110" w:before="100" w:line="240"/>
      </w:pPr>
      <w:r>
        <w:rPr>
          <w:rFonts w:ascii="Aptos" w:cs="Aptos" w:eastAsia="Aptos" w:hAnsi="Aptos"/>
          <w:b/>
          <w:bCs/>
          <w:color w:val="21626A"/>
          <w:sz w:val="27"/>
          <w:szCs w:val="27"/>
        </w:rPr>
        <w:t xml:space="preserve">Answer guidance</w:t>
      </w:r>
    </w:p>
    <w:p>
      <w:pPr>
        <w:spacing w:after="110" w:before="0" w:line="240"/>
      </w:pPr>
      <w:r>
        <w:rPr>
          <w:rFonts w:ascii="Aptos" w:cs="Aptos" w:eastAsia="Aptos" w:hAnsi="Aptos"/>
          <w:b w:val="false"/>
          <w:bCs w:val="false"/>
          <w:color w:val="173D45"/>
          <w:sz w:val="20"/>
          <w:szCs w:val="20"/>
        </w:rPr>
        <w:t xml:space="preserve">The strongest climax choice is Nia's emergency call because it redirects the response from unsafe impulse to expert action. Accept another choice only if a student explains how it changes the direction of events. Strong claims are interpretations, not a single correct theme. They should include a precise event, a consequence, a cautious statement about courage and a reader purpose.</w:t>
      </w:r>
    </w:p>
    <w:p>
      <w:pPr>
        <w:spacing w:after="110" w:before="100" w:line="240"/>
      </w:pPr>
      <w:r>
        <w:rPr>
          <w:rFonts w:ascii="Aptos" w:cs="Aptos" w:eastAsia="Aptos" w:hAnsi="Aptos"/>
          <w:b/>
          <w:bCs/>
          <w:color w:val="21626A"/>
          <w:sz w:val="27"/>
          <w:szCs w:val="27"/>
        </w:rPr>
        <w:t xml:space="preserve">Access and extension</w:t>
      </w:r>
    </w:p>
    <w:p>
      <w:pPr>
        <w:spacing w:after="110" w:before="0" w:line="240"/>
      </w:pPr>
      <w:r>
        <w:rPr>
          <w:rFonts w:ascii="Aptos" w:cs="Aptos" w:eastAsia="Aptos" w:hAnsi="Aptos"/>
          <w:b w:val="false"/>
          <w:bCs w:val="false"/>
          <w:color w:val="173D45"/>
          <w:sz w:val="20"/>
          <w:szCs w:val="20"/>
        </w:rPr>
        <w:t xml:space="preserve">Green view and concise organiser: reduce language load, retain the same event-to-claim pathway, allow oral/pointing/scribed responses. Extension: use 'can' or 'may', and explain why a community sign is a proposal rather than proof that every reader will act safely.</w:t>
      </w:r>
    </w:p>
    <w:sectPr>
      <w:pgSz w:w="11906" w:h="16838" w:orient="portrait"/>
      <w:pgMar w:top="850" w:right="980" w:bottom="85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2026-08-12T09:56:39.913Z</dcterms:created>
  <dcterms:modified xsi:type="dcterms:W3CDTF">2026-08-12T09:56:39.913Z</dcterms:modified>
</cp:coreProperties>
</file>

<file path=docProps/custom.xml><?xml version="1.0" encoding="utf-8"?>
<Properties xmlns="http://schemas.openxmlformats.org/officeDocument/2006/custom-properties" xmlns:vt="http://schemas.openxmlformats.org/officeDocument/2006/docPropsVTypes"/>
</file>