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line="245"/>
      </w:pPr>
      <w:r>
        <w:rPr>
          <w:rFonts w:ascii="Calibri" w:cs="Calibri" w:eastAsia="Calibri" w:hAnsi="Calibri"/>
          <w:b/>
          <w:bCs/>
          <w:color w:val="A84F3A"/>
          <w:sz w:val="17"/>
          <w:szCs w:val="17"/>
        </w:rPr>
        <w:t xml:space="preserve">ORIGINAL CLASSROOM FEATURE</w:t>
      </w:r>
    </w:p>
    <w:p>
      <w:pPr>
        <w:spacing w:after="55" w:line="245"/>
      </w:pPr>
      <w:r>
        <w:rPr>
          <w:rFonts w:ascii="Calibri" w:cs="Calibri" w:eastAsia="Calibri" w:hAnsi="Calibri"/>
          <w:b/>
          <w:bCs/>
          <w:color w:val="183E4A"/>
          <w:sz w:val="46"/>
          <w:szCs w:val="46"/>
        </w:rPr>
        <w:t xml:space="preserve">The Harbour Garden Proposal</w:t>
      </w:r>
    </w:p>
    <w:p>
      <w:pPr>
        <w:spacing w:after="120" w:line="245"/>
      </w:pPr>
      <w:r>
        <w:rPr>
          <w:rFonts w:ascii="Calibri" w:cs="Calibri" w:eastAsia="Calibri" w:hAnsi="Calibri"/>
          <w:i/>
          <w:iCs/>
          <w:color w:val="5E7470"/>
          <w:sz w:val="22"/>
          <w:szCs w:val="22"/>
        </w:rPr>
        <w:t xml:space="preserve">A model conclusion that makes a future visible without over-promising.</w:t>
      </w:r>
    </w:p>
    <w:p>
      <w:pPr>
        <w:spacing w:after="170" w:line="245"/>
      </w:pPr>
      <w:r>
        <w:rPr>
          <w:rFonts w:ascii="Calibri" w:cs="Calibri" w:eastAsia="Calibri" w:hAnsi="Calibri"/>
          <w:b/>
          <w:bCs/>
          <w:color w:val="3F7D72"/>
          <w:sz w:val="17"/>
          <w:szCs w:val="17"/>
        </w:rPr>
        <w:t xml:space="preserve">READ | MARK RETURN / FUTURE / ACTION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3F7D72" w:sz="18"/>
            </w:tcBorders>
            <w:shd w:fill="FFF1D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20" w:line="245"/>
            </w:pPr>
            <w:r>
              <w:rPr>
                <w:rFonts w:ascii="Calibri" w:cs="Calibri" w:eastAsia="Calibri" w:hAnsi="Calibri"/>
                <w:b/>
                <w:bCs/>
                <w:color w:val="A84F3A"/>
                <w:sz w:val="20"/>
                <w:szCs w:val="20"/>
              </w:rPr>
              <w:t xml:space="preserve">Fiction boundary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173B3A"/>
                <w:sz w:val="20"/>
                <w:szCs w:val="20"/>
              </w:rPr>
              <w:t xml:space="preserve">Harbourview and all details are invented for craft analysis. They are not research evidence.</w:t>
            </w:r>
          </w:p>
        </w:tc>
      </w:tr>
    </w:tbl>
    <w:p>
      <w:pPr>
        <w:spacing w:after="100" w:line="245"/>
      </w:pPr>
      <w:r>
        <w:rPr>
          <w:rFonts w:ascii="Calibri" w:cs="Calibri" w:eastAsia="Calibri" w:hAnsi="Calibri"/>
          <w:b/>
          <w:bCs/>
          <w:color w:val="183E4A"/>
          <w:sz w:val="30"/>
          <w:szCs w:val="30"/>
        </w:rPr>
        <w:t xml:space="preserve">A corner with a next step</w:t>
      </w:r>
    </w:p>
    <w:p>
      <w:pPr>
        <w:spacing w:after="90" w:line="245"/>
      </w:pPr>
      <w:r>
        <w:rPr>
          <w:rFonts w:ascii="Calibri" w:cs="Calibri" w:eastAsia="Calibri" w:hAnsi="Calibri"/>
          <w:color w:val="173B3A"/>
          <w:sz w:val="21"/>
          <w:szCs w:val="21"/>
        </w:rPr>
        <w:t xml:space="preserve">At Harbourview School, the paved corner beside the library is usually empty at lunch. The student garden team imagines two donated planters, shade from a sail and a table where students could sketch, read or wait for a friend.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3F7D72" w:sz="18"/>
            </w:tcBorders>
            <w:shd w:fill="E8F2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20" w:line="245"/>
            </w:pPr>
            <w:r>
              <w:rPr>
                <w:rFonts w:ascii="Calibri" w:cs="Calibri" w:eastAsia="Calibri" w:hAnsi="Calibri"/>
                <w:b/>
                <w:bCs/>
                <w:color w:val="A84F3A"/>
                <w:sz w:val="20"/>
                <w:szCs w:val="20"/>
              </w:rPr>
              <w:t xml:space="preserve">Thesis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173B3A"/>
                <w:sz w:val="20"/>
                <w:szCs w:val="20"/>
              </w:rPr>
              <w:t xml:space="preserve">Harbourview School should run a six-week Harbour Garden trial beside the library, then decide whether the space is useful and manageable.</w:t>
            </w:r>
          </w:p>
        </w:tc>
      </w:tr>
    </w:tbl>
    <w:p>
      <w:pPr>
        <w:spacing w:after="90" w:line="245"/>
      </w:pPr>
      <w:r>
        <w:rPr>
          <w:rFonts w:ascii="Calibri" w:cs="Calibri" w:eastAsia="Calibri" w:hAnsi="Calibri"/>
          <w:color w:val="173B3A"/>
          <w:sz w:val="21"/>
          <w:szCs w:val="21"/>
        </w:rPr>
        <w:t xml:space="preserve">The proposal adds a choice; it does not ask every student to garden. Some people may worry that a garden could cost too much or become untidy. That is a fair concern.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3F7D72" w:sz="18"/>
            </w:tcBorders>
            <w:shd w:fill="E8F2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20" w:line="245"/>
            </w:pPr>
            <w:r>
              <w:rPr>
                <w:rFonts w:ascii="Calibri" w:cs="Calibri" w:eastAsia="Calibri" w:hAnsi="Calibri"/>
                <w:b/>
                <w:bCs/>
                <w:color w:val="A84F3A"/>
                <w:sz w:val="20"/>
                <w:szCs w:val="20"/>
              </w:rPr>
              <w:t xml:space="preserve">Measured response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173B3A"/>
                <w:sz w:val="20"/>
                <w:szCs w:val="20"/>
              </w:rPr>
              <w:t xml:space="preserve">The trial could begin with donated planters, a simple sign-out tub and a weekly duty-teacher check. The team could record what works before asking for a longer commitment.</w:t>
            </w:r>
          </w:p>
        </w:tc>
      </w:tr>
    </w:tbl>
    <w:p>
      <w:r>
        <w:br w:type="page"/>
      </w:r>
    </w:p>
    <w:p>
      <w:pPr>
        <w:spacing w:after="100" w:line="245"/>
      </w:pPr>
      <w:r>
        <w:rPr>
          <w:rFonts w:ascii="Calibri" w:cs="Calibri" w:eastAsia="Calibri" w:hAnsi="Calibri"/>
          <w:b/>
          <w:bCs/>
          <w:color w:val="183E4A"/>
          <w:sz w:val="30"/>
          <w:szCs w:val="30"/>
        </w:rPr>
        <w:t xml:space="preserve">Ending with a future readers can picture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3F7D72" w:sz="18"/>
            </w:tcBorders>
            <w:shd w:fill="FFF1D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20" w:line="245"/>
            </w:pPr>
            <w:r>
              <w:rPr>
                <w:rFonts w:ascii="Calibri" w:cs="Calibri" w:eastAsia="Calibri" w:hAnsi="Calibri"/>
                <w:b/>
                <w:bCs/>
                <w:color w:val="A84F3A"/>
                <w:sz w:val="20"/>
                <w:szCs w:val="20"/>
              </w:rPr>
              <w:t xml:space="preserve">Model conclusion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173B3A"/>
                <w:sz w:val="20"/>
                <w:szCs w:val="20"/>
              </w:rPr>
              <w:t xml:space="preserve">Harbourview should approve a six-week Harbour Garden trial near the library. With a small, carefully managed space, the corner could become a place where students can read, draw or talk quietly at lunch. The principal can begin by approving the trial and asking the garden team to record what works before a longer decision is made.</w:t>
            </w:r>
          </w:p>
        </w:tc>
      </w:tr>
    </w:tbl>
    <w:p>
      <w:pPr>
        <w:spacing w:after="90" w:line="245"/>
      </w:pPr>
      <w:r>
        <w:rPr>
          <w:rFonts w:ascii="Calibri" w:cs="Calibri" w:eastAsia="Calibri" w:hAnsi="Calibri"/>
          <w:color w:val="173B3A"/>
          <w:sz w:val="21"/>
          <w:szCs w:val="21"/>
        </w:rPr>
        <w:t xml:space="preserve">The word could shows a possible future, not a guarantee. A persuasive ending returns to the position, makes a future visible and asks an audience for one specific action.</w:t>
      </w:r>
    </w:p>
    <w:p>
      <w:pPr>
        <w:spacing w:after="100" w:line="245"/>
      </w:pPr>
      <w:r>
        <w:rPr>
          <w:rFonts w:ascii="Calibri" w:cs="Calibri" w:eastAsia="Calibri" w:hAnsi="Calibri"/>
          <w:b/>
          <w:bCs/>
          <w:color w:val="183E4A"/>
          <w:sz w:val="30"/>
          <w:szCs w:val="30"/>
        </w:rPr>
        <w:t xml:space="preserve">Reading check</w:t>
      </w:r>
    </w:p>
    <w:p>
      <w:pPr>
        <w:spacing w:after="90" w:line="245"/>
      </w:pPr>
      <w:r>
        <w:rPr>
          <w:rFonts w:ascii="Calibri" w:cs="Calibri" w:eastAsia="Calibri" w:hAnsi="Calibri"/>
          <w:color w:val="173B3A"/>
          <w:sz w:val="21"/>
          <w:szCs w:val="21"/>
        </w:rPr>
        <w:t xml:space="preserve">1. Restate the proposal.
2. Underline the fair concern.
3. Circle the conditional word.
4. Who acts first?
5. Replace this overclaim: “The garden will make everyone happy.”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left w:val="single" w:color="3F7D72" w:sz="18"/>
            </w:tcBorders>
            <w:shd w:fill="E8F2E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20" w:line="245"/>
            </w:pPr>
            <w:r>
              <w:rPr>
                <w:rFonts w:ascii="Calibri" w:cs="Calibri" w:eastAsia="Calibri" w:hAnsi="Calibri"/>
                <w:b/>
                <w:bCs/>
                <w:color w:val="A84F3A"/>
                <w:sz w:val="20"/>
                <w:szCs w:val="20"/>
              </w:rPr>
              <w:t xml:space="preserve">Source note</w:t>
            </w:r>
          </w:p>
          <w:p>
            <w:pPr>
              <w:spacing w:after="0" w:line="245"/>
            </w:pPr>
            <w:r>
              <w:rPr>
                <w:rFonts w:ascii="Calibri" w:cs="Calibri" w:eastAsia="Calibri" w:hAnsi="Calibri"/>
                <w:color w:val="173B3A"/>
                <w:sz w:val="20"/>
                <w:szCs w:val="20"/>
              </w:rPr>
              <w:t xml:space="preserve">Use your own traceable, checked sources for an assessment claim. This feature supplies a conclusion pattern only.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4" w:right="864" w:bottom="864" w:left="864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5"/>
      <w:jc w:val="center"/>
    </w:pPr>
    <w:r>
      <w:rPr>
        <w:rFonts w:ascii="Calibri" w:cs="Calibri" w:eastAsia="Calibri" w:hAnsi="Calibri"/>
        <w:color w:val="5E7470"/>
        <w:sz w:val="15"/>
        <w:szCs w:val="15"/>
      </w:rPr>
      <w:t xml:space="preserve">Reading Pack | The Harbour Garden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5"/>
      <w:jc w:val="right"/>
    </w:pPr>
    <w:r>
      <w:rPr>
        <w:rFonts w:ascii="Calibri" w:cs="Calibri" w:eastAsia="Calibri" w:hAnsi="Calibri"/>
        <w:b/>
        <w:bCs/>
        <w:color w:val="5E7470"/>
        <w:sz w:val="15"/>
        <w:szCs w:val="15"/>
      </w:rPr>
      <w:t xml:space="preserve">ENGLISH UNIT 3 | LESSON 29 ALTERNATIVE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Pack</dc:title>
  <dc:creator>Joshua English Unit 3</dc:creator>
  <cp:lastModifiedBy>Un-named</cp:lastModifiedBy>
  <cp:revision>1</cp:revision>
  <dcterms:created xsi:type="dcterms:W3CDTF">2026-08-12T10:12:33.260Z</dcterms:created>
  <dcterms:modified xsi:type="dcterms:W3CDTF">2026-08-12T10:12:33.261Z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