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TEACHER LESSON PLAN</w:t>
      </w:r>
    </w:p>
    <w:p>
      <w:pPr>
        <w:jc w:val="center"/>
      </w:pPr>
      <w:r>
        <w:rPr>
          <w:i/>
          <w:iCs/>
        </w:rPr>
        <w:t xml:space="preserve">Who Influences Me? (Part B) — Lesson 2</w:t>
      </w:r>
    </w:p>
    <w:p>
      <w:pPr>
        <w:spacing w:before="200"/>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7746"/>
      </w:tblGrid>
      <w:tr>
        <w:tc>
          <w:tcPr>
            <w:tcW w:type="dxa" w:w="2000"/>
            <w:tcBorders>
              <w:top w:val="single" w:color="CCCCCC" w:sz="1"/>
              <w:left w:val="single" w:color="CCCCCC" w:sz="1"/>
              <w:bottom w:val="single" w:color="CCCCCC" w:sz="1"/>
              <w:right w:val="single" w:color="CCCCCC" w:sz="1"/>
            </w:tcBorders>
            <w:shd w:fill="E6F3F7" w:val="clear"/>
          </w:tcPr>
          <w:p>
            <w:r>
              <w:rPr>
                <w:b/>
                <w:bCs/>
              </w:rPr>
              <w:t xml:space="preserve">Unit</w:t>
            </w:r>
          </w:p>
        </w:tc>
        <w:tc>
          <w:tcPr>
            <w:tcW w:type="dxa" w:w="7746"/>
            <w:tcBorders>
              <w:top w:val="single" w:color="CCCCCC" w:sz="1"/>
              <w:left w:val="single" w:color="CCCCCC" w:sz="1"/>
              <w:bottom w:val="single" w:color="CCCCCC" w:sz="1"/>
              <w:right w:val="single" w:color="CCCCCC" w:sz="1"/>
            </w:tcBorders>
          </w:tcPr>
          <w:p>
            <w:r>
              <w:t xml:space="preserve">Who Influences Me? (Part B: Health Messages)</w:t>
            </w:r>
          </w:p>
        </w:tc>
      </w:tr>
      <w:tr>
        <w:tc>
          <w:tcPr>
            <w:tcW w:type="dxa" w:w="2000"/>
            <w:tcBorders>
              <w:top w:val="single" w:color="CCCCCC" w:sz="1"/>
              <w:left w:val="single" w:color="CCCCCC" w:sz="1"/>
              <w:bottom w:val="single" w:color="CCCCCC" w:sz="1"/>
              <w:right w:val="single" w:color="CCCCCC" w:sz="1"/>
            </w:tcBorders>
            <w:shd w:fill="E6F3F7" w:val="clear"/>
          </w:tcPr>
          <w:p>
            <w:r>
              <w:rPr>
                <w:b/>
                <w:bCs/>
              </w:rPr>
              <w:t xml:space="preserve">Topic</w:t>
            </w:r>
          </w:p>
        </w:tc>
        <w:tc>
          <w:tcPr>
            <w:tcW w:type="dxa" w:w="7746"/>
            <w:tcBorders>
              <w:top w:val="single" w:color="CCCCCC" w:sz="1"/>
              <w:left w:val="single" w:color="CCCCCC" w:sz="1"/>
              <w:bottom w:val="single" w:color="CCCCCC" w:sz="1"/>
              <w:right w:val="single" w:color="CCCCCC" w:sz="1"/>
            </w:tcBorders>
          </w:tcPr>
          <w:p>
            <w:r>
              <w:t xml:space="preserve">Topic 3 — Influence of the Media on Health Decisions</w:t>
            </w:r>
          </w:p>
        </w:tc>
      </w:tr>
      <w:tr>
        <w:tc>
          <w:tcPr>
            <w:tcW w:type="dxa" w:w="2000"/>
            <w:tcBorders>
              <w:top w:val="single" w:color="CCCCCC" w:sz="1"/>
              <w:left w:val="single" w:color="CCCCCC" w:sz="1"/>
              <w:bottom w:val="single" w:color="CCCCCC" w:sz="1"/>
              <w:right w:val="single" w:color="CCCCCC" w:sz="1"/>
            </w:tcBorders>
            <w:shd w:fill="E6F3F7" w:val="clear"/>
          </w:tcPr>
          <w:p>
            <w:r>
              <w:rPr>
                <w:b/>
                <w:bCs/>
              </w:rPr>
              <w:t xml:space="preserve">Year Level</w:t>
            </w:r>
          </w:p>
        </w:tc>
        <w:tc>
          <w:tcPr>
            <w:tcW w:type="dxa" w:w="7746"/>
            <w:tcBorders>
              <w:top w:val="single" w:color="CCCCCC" w:sz="1"/>
              <w:left w:val="single" w:color="CCCCCC" w:sz="1"/>
              <w:bottom w:val="single" w:color="CCCCCC" w:sz="1"/>
              <w:right w:val="single" w:color="CCCCCC" w:sz="1"/>
            </w:tcBorders>
          </w:tcPr>
          <w:p>
            <w:r>
              <w:t xml:space="preserve">Year 6 (also suitable for Year 5)</w:t>
            </w:r>
          </w:p>
        </w:tc>
      </w:tr>
      <w:tr>
        <w:tc>
          <w:tcPr>
            <w:tcW w:type="dxa" w:w="2000"/>
            <w:tcBorders>
              <w:top w:val="single" w:color="CCCCCC" w:sz="1"/>
              <w:left w:val="single" w:color="CCCCCC" w:sz="1"/>
              <w:bottom w:val="single" w:color="CCCCCC" w:sz="1"/>
              <w:right w:val="single" w:color="CCCCCC" w:sz="1"/>
            </w:tcBorders>
            <w:shd w:fill="E6F3F7" w:val="clear"/>
          </w:tcPr>
          <w:p>
            <w:r>
              <w:rPr>
                <w:b/>
                <w:bCs/>
              </w:rPr>
              <w:t xml:space="preserve">Duration</w:t>
            </w:r>
          </w:p>
        </w:tc>
        <w:tc>
          <w:tcPr>
            <w:tcW w:type="dxa" w:w="7746"/>
            <w:tcBorders>
              <w:top w:val="single" w:color="CCCCCC" w:sz="1"/>
              <w:left w:val="single" w:color="CCCCCC" w:sz="1"/>
              <w:bottom w:val="single" w:color="CCCCCC" w:sz="1"/>
              <w:right w:val="single" w:color="CCCCCC" w:sz="1"/>
            </w:tcBorders>
          </w:tcPr>
          <w:p>
            <w:r>
              <w:t xml:space="preserve">60 Minutes</w:t>
            </w:r>
          </w:p>
        </w:tc>
      </w:tr>
      <w:tr>
        <w:tc>
          <w:tcPr>
            <w:tcW w:type="dxa" w:w="2000"/>
            <w:tcBorders>
              <w:top w:val="single" w:color="CCCCCC" w:sz="1"/>
              <w:left w:val="single" w:color="CCCCCC" w:sz="1"/>
              <w:bottom w:val="single" w:color="CCCCCC" w:sz="1"/>
              <w:right w:val="single" w:color="CCCCCC" w:sz="1"/>
            </w:tcBorders>
            <w:shd w:fill="E6F3F7" w:val="clear"/>
          </w:tcPr>
          <w:p>
            <w:r>
              <w:rPr>
                <w:b/>
                <w:bCs/>
              </w:rPr>
              <w:t xml:space="preserve">Curriculum</w:t>
            </w:r>
          </w:p>
        </w:tc>
        <w:tc>
          <w:tcPr>
            <w:tcW w:type="dxa" w:w="7746"/>
            <w:tcBorders>
              <w:top w:val="single" w:color="CCCCCC" w:sz="1"/>
              <w:left w:val="single" w:color="CCCCCC" w:sz="1"/>
              <w:bottom w:val="single" w:color="CCCCCC" w:sz="1"/>
              <w:right w:val="single" w:color="CCCCCC" w:sz="1"/>
            </w:tcBorders>
          </w:tcPr>
          <w:p>
            <w:r>
              <w:t xml:space="preserve">ACPPS057 / AC9HP6G01: Recognise how media and community messages influence health, safety, attitudes, and behaviours.</w:t>
            </w:r>
          </w:p>
        </w:tc>
      </w:tr>
      <w:tr>
        <w:tc>
          <w:tcPr>
            <w:tcW w:type="dxa" w:w="2000"/>
            <w:tcBorders>
              <w:top w:val="single" w:color="CCCCCC" w:sz="1"/>
              <w:left w:val="single" w:color="CCCCCC" w:sz="1"/>
              <w:bottom w:val="single" w:color="CCCCCC" w:sz="1"/>
              <w:right w:val="single" w:color="CCCCCC" w:sz="1"/>
            </w:tcBorders>
            <w:shd w:fill="E6F3F7" w:val="clear"/>
          </w:tcPr>
          <w:p>
            <w:r>
              <w:rPr>
                <w:b/>
                <w:bCs/>
              </w:rPr>
              <w:t xml:space="preserve">Capabilities</w:t>
            </w:r>
          </w:p>
        </w:tc>
        <w:tc>
          <w:tcPr>
            <w:tcW w:type="dxa" w:w="7746"/>
            <w:tcBorders>
              <w:top w:val="single" w:color="CCCCCC" w:sz="1"/>
              <w:left w:val="single" w:color="CCCCCC" w:sz="1"/>
              <w:bottom w:val="single" w:color="CCCCCC" w:sz="1"/>
              <w:right w:val="single" w:color="CCCCCC" w:sz="1"/>
            </w:tcBorders>
          </w:tcPr>
          <w:p>
            <w:r>
              <w:t xml:space="preserve">Literacy, Critical and Creative Thinking, ICT Capability</w:t>
            </w:r>
          </w:p>
        </w:tc>
      </w:tr>
    </w:tbl>
    <w:p>
      <w:pPr>
        <w:spacing w:before="300"/>
      </w:pPr>
    </w:p>
    <w:p>
      <w:pPr>
        <w:pStyle w:val="Heading2"/>
      </w:pPr>
      <w:r>
        <w:t xml:space="preserve">Learning Intentions</w:t>
      </w:r>
    </w:p>
    <w:p>
      <w:pPr>
        <w:pStyle w:val="ListParagraph"/>
        <w:numPr>
          <w:ilvl w:val="0"/>
          <w:numId w:val="2"/>
        </w:numPr>
      </w:pPr>
      <w:r>
        <w:t xml:space="preserve">Identify and analyse the Australian guidelines for achieving healthier and safer living for young people.</w:t>
      </w:r>
    </w:p>
    <w:p>
      <w:pPr>
        <w:pStyle w:val="ListParagraph"/>
        <w:numPr>
          <w:ilvl w:val="0"/>
          <w:numId w:val="2"/>
        </w:numPr>
      </w:pPr>
      <w:r>
        <w:t xml:space="preserve">Apply a structured six-step problem-solving model to construct a personal, targeted health message.</w:t>
      </w:r>
    </w:p>
    <w:p>
      <w:pPr>
        <w:pStyle w:val="ListParagraph"/>
        <w:numPr>
          <w:ilvl w:val="0"/>
          <w:numId w:val="2"/>
        </w:numPr>
      </w:pPr>
      <w:r>
        <w:t xml:space="preserve">Evaluate the credibility, promotional delivery, and value of self-designed health messages on peer wellbeing.</w:t>
      </w:r>
    </w:p>
    <w:p>
      <w:pPr>
        <w:pStyle w:val="Heading2"/>
      </w:pPr>
      <w:r>
        <w:t xml:space="preserve">Success Criteria</w:t>
      </w:r>
    </w:p>
    <w:p>
      <w:pPr>
        <w:pStyle w:val="ListParagraph"/>
        <w:numPr>
          <w:ilvl w:val="0"/>
          <w:numId w:val="2"/>
        </w:numPr>
      </w:pPr>
      <w:r>
        <w:t xml:space="preserve">I can explain at least two of the Australian healthy living guidelines.</w:t>
      </w:r>
    </w:p>
    <w:p>
      <w:pPr>
        <w:pStyle w:val="ListParagraph"/>
        <w:numPr>
          <w:ilvl w:val="0"/>
          <w:numId w:val="2"/>
        </w:numPr>
      </w:pPr>
      <w:r>
        <w:t xml:space="preserve">I can find 3 credible online health sources and extract 6 verified facts supporting a guideline.</w:t>
      </w:r>
    </w:p>
    <w:p>
      <w:pPr>
        <w:pStyle w:val="ListParagraph"/>
        <w:numPr>
          <w:ilvl w:val="0"/>
          <w:numId w:val="2"/>
        </w:numPr>
      </w:pPr>
      <w:r>
        <w:t xml:space="preserve">I can formulate a concise, active, one-sentence health message for Year 5/6 students.</w:t>
      </w:r>
    </w:p>
    <w:p>
      <w:pPr>
        <w:pStyle w:val="ListParagraph"/>
        <w:numPr>
          <w:ilvl w:val="0"/>
          <w:numId w:val="2"/>
        </w:numPr>
      </w:pPr>
      <w:r>
        <w:t xml:space="preserve">I can design and review the effectiveness of my message in safeguarding youth wellbeing.</w:t>
      </w:r>
    </w:p>
    <w:p>
      <w:pPr>
        <w:pStyle w:val="Heading2"/>
      </w:pPr>
      <w:r>
        <w:t xml:space="preserve">Resources Required</w:t>
      </w:r>
    </w:p>
    <w:p>
      <w:pPr>
        <w:pStyle w:val="ListParagraph"/>
        <w:numPr>
          <w:ilvl w:val="0"/>
          <w:numId w:val="2"/>
        </w:numPr>
      </w:pPr>
      <w:r>
        <w:t xml:space="preserve">Lesson 2 — Presentation (Premium HTML Single Page Interface).</w:t>
      </w:r>
    </w:p>
    <w:p>
      <w:pPr>
        <w:pStyle w:val="ListParagraph"/>
        <w:numPr>
          <w:ilvl w:val="0"/>
          <w:numId w:val="2"/>
        </w:numPr>
      </w:pPr>
      <w:r>
        <w:t xml:space="preserve">Lesson 2 — Student Worksheet (one per student or digital access).</w:t>
      </w:r>
    </w:p>
    <w:p>
      <w:pPr>
        <w:pStyle w:val="ListParagraph"/>
        <w:numPr>
          <w:ilvl w:val="0"/>
          <w:numId w:val="2"/>
        </w:numPr>
      </w:pPr>
      <w:r>
        <w:t xml:space="preserve">Student laptops/tablets for credible research (Step 2) and digital worksheet interactive tasks.</w:t>
      </w:r>
    </w:p>
    <w:p>
      <w:pPr>
        <w:pStyle w:val="Heading2"/>
      </w:pPr>
      <w:r>
        <w:t xml:space="preserve">Lesson Sequence (60 Minutes Total)</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800"/>
        <w:gridCol w:w="1200"/>
        <w:gridCol w:w="4200"/>
        <w:gridCol w:w="3546"/>
      </w:tblGrid>
      <w:tr>
        <w:trPr>
          <w:tblHeader/>
        </w:trPr>
        <w:tc>
          <w:tcPr>
            <w:tcW w:type="dxa" w:w="800"/>
            <w:tcBorders>
              <w:top w:val="single" w:color="CCCCCC" w:sz="1"/>
              <w:left w:val="single" w:color="CCCCCC" w:sz="1"/>
              <w:bottom w:val="single" w:color="CCCCCC" w:sz="1"/>
              <w:right w:val="single" w:color="CCCCCC" w:sz="1"/>
            </w:tcBorders>
            <w:shd w:fill="D5E8F0" w:val="clear"/>
          </w:tcPr>
          <w:p>
            <w:pPr>
              <w:jc w:val="center"/>
            </w:pPr>
            <w:r>
              <w:rPr>
                <w:b/>
                <w:bCs/>
              </w:rPr>
              <w:t xml:space="preserve">Time</w:t>
            </w:r>
          </w:p>
        </w:tc>
        <w:tc>
          <w:tcPr>
            <w:tcW w:type="dxa" w:w="1200"/>
            <w:tcBorders>
              <w:top w:val="single" w:color="CCCCCC" w:sz="1"/>
              <w:left w:val="single" w:color="CCCCCC" w:sz="1"/>
              <w:bottom w:val="single" w:color="CCCCCC" w:sz="1"/>
              <w:right w:val="single" w:color="CCCCCC" w:sz="1"/>
            </w:tcBorders>
            <w:shd w:fill="D5E8F0" w:val="clear"/>
          </w:tcPr>
          <w:p>
            <w:pPr>
              <w:jc w:val="center"/>
            </w:pPr>
            <w:r>
              <w:rPr>
                <w:b/>
                <w:bCs/>
              </w:rPr>
              <w:t xml:space="preserve">Phase</w:t>
            </w:r>
          </w:p>
        </w:tc>
        <w:tc>
          <w:tcPr>
            <w:tcW w:type="dxa" w:w="4200"/>
            <w:tcBorders>
              <w:top w:val="single" w:color="CCCCCC" w:sz="1"/>
              <w:left w:val="single" w:color="CCCCCC" w:sz="1"/>
              <w:bottom w:val="single" w:color="CCCCCC" w:sz="1"/>
              <w:right w:val="single" w:color="CCCCCC" w:sz="1"/>
            </w:tcBorders>
            <w:shd w:fill="D5E8F0" w:val="clear"/>
          </w:tcPr>
          <w:p>
            <w:r>
              <w:rPr>
                <w:b/>
                <w:bCs/>
              </w:rPr>
              <w:t xml:space="preserve">Teacher Actions</w:t>
            </w:r>
          </w:p>
        </w:tc>
        <w:tc>
          <w:tcPr>
            <w:tcW w:type="dxa" w:w="3546"/>
            <w:tcBorders>
              <w:top w:val="single" w:color="CCCCCC" w:sz="1"/>
              <w:left w:val="single" w:color="CCCCCC" w:sz="1"/>
              <w:bottom w:val="single" w:color="CCCCCC" w:sz="1"/>
              <w:right w:val="single" w:color="CCCCCC" w:sz="1"/>
            </w:tcBorders>
            <w:shd w:fill="D5E8F0" w:val="clear"/>
          </w:tcPr>
          <w:p>
            <w:r>
              <w:rPr>
                <w:b/>
                <w:bCs/>
              </w:rPr>
              <w:t xml:space="preserve">Student Actions</w:t>
            </w:r>
          </w:p>
        </w:tc>
      </w:tr>
      <w:tr>
        <w:tc>
          <w:tcPr>
            <w:tcW w:type="dxa" w:w="800"/>
            <w:tcBorders>
              <w:top w:val="single" w:color="CCCCCC" w:sz="1"/>
              <w:left w:val="single" w:color="CCCCCC" w:sz="1"/>
              <w:bottom w:val="single" w:color="CCCCCC" w:sz="1"/>
              <w:right w:val="single" w:color="CCCCCC" w:sz="1"/>
            </w:tcBorders>
          </w:tcPr>
          <w:p>
            <w:pPr>
              <w:jc w:val="center"/>
            </w:pPr>
            <w:r>
              <w:t xml:space="preserve">10 min</w:t>
            </w:r>
          </w:p>
        </w:tc>
        <w:tc>
          <w:tcPr>
            <w:tcW w:type="dxa" w:w="1200"/>
            <w:tcBorders>
              <w:top w:val="single" w:color="CCCCCC" w:sz="1"/>
              <w:left w:val="single" w:color="CCCCCC" w:sz="1"/>
              <w:bottom w:val="single" w:color="CCCCCC" w:sz="1"/>
              <w:right w:val="single" w:color="CCCCCC" w:sz="1"/>
            </w:tcBorders>
          </w:tcPr>
          <w:p>
            <w:pPr>
              <w:jc w:val="center"/>
            </w:pPr>
            <w:r>
              <w:t xml:space="preserve">Hook &amp; Intro</w:t>
            </w:r>
          </w:p>
        </w:tc>
        <w:tc>
          <w:tcPr>
            <w:tcW w:type="dxa" w:w="4200"/>
            <w:tcBorders>
              <w:top w:val="single" w:color="CCCCCC" w:sz="1"/>
              <w:left w:val="single" w:color="CCCCCC" w:sz="1"/>
              <w:bottom w:val="single" w:color="CCCCCC" w:sz="1"/>
              <w:right w:val="single" w:color="CCCCCC" w:sz="1"/>
            </w:tcBorders>
          </w:tcPr>
          <w:p>
            <w:r>
              <w:t xml:space="preserve">Project the HTML Presentation onto the screen. Introduce the 7 Australian guidelines for healthy living. Explain that students are now the “creative directors” tasked with translating dry policies into engaging health campaigns using a six-step model.</w:t>
            </w:r>
          </w:p>
        </w:tc>
        <w:tc>
          <w:tcPr>
            <w:tcW w:type="dxa" w:w="3546"/>
            <w:tcBorders>
              <w:top w:val="single" w:color="CCCCCC" w:sz="1"/>
              <w:left w:val="single" w:color="CCCCCC" w:sz="1"/>
              <w:bottom w:val="single" w:color="CCCCCC" w:sz="1"/>
              <w:right w:val="single" w:color="CCCCCC" w:sz="1"/>
            </w:tcBorders>
          </w:tcPr>
          <w:p>
            <w:r>
              <w:t xml:space="preserve">Observe guidelines. Discuss in pairs: “Which of these rules is the hardest for students our age to follow, and why?” Share thoughts to activate prior knowledge.</w:t>
            </w:r>
          </w:p>
        </w:tc>
      </w:tr>
      <w:tr>
        <w:tc>
          <w:tcPr>
            <w:tcW w:type="dxa" w:w="800"/>
            <w:tcBorders>
              <w:top w:val="single" w:color="CCCCCC" w:sz="1"/>
              <w:left w:val="single" w:color="CCCCCC" w:sz="1"/>
              <w:bottom w:val="single" w:color="CCCCCC" w:sz="1"/>
              <w:right w:val="single" w:color="CCCCCC" w:sz="1"/>
            </w:tcBorders>
          </w:tcPr>
          <w:p>
            <w:pPr>
              <w:jc w:val="center"/>
            </w:pPr>
            <w:r>
              <w:t xml:space="preserve">15 min</w:t>
            </w:r>
          </w:p>
        </w:tc>
        <w:tc>
          <w:tcPr>
            <w:tcW w:type="dxa" w:w="1200"/>
            <w:tcBorders>
              <w:top w:val="single" w:color="CCCCCC" w:sz="1"/>
              <w:left w:val="single" w:color="CCCCCC" w:sz="1"/>
              <w:bottom w:val="single" w:color="CCCCCC" w:sz="1"/>
              <w:right w:val="single" w:color="CCCCCC" w:sz="1"/>
            </w:tcBorders>
          </w:tcPr>
          <w:p>
            <w:pPr>
              <w:jc w:val="center"/>
            </w:pPr>
            <w:r>
              <w:t xml:space="preserve">Research</w:t>
            </w:r>
          </w:p>
        </w:tc>
        <w:tc>
          <w:tcPr>
            <w:tcW w:type="dxa" w:w="4200"/>
            <w:tcBorders>
              <w:top w:val="single" w:color="CCCCCC" w:sz="1"/>
              <w:left w:val="single" w:color="CCCCCC" w:sz="1"/>
              <w:bottom w:val="single" w:color="CCCCCC" w:sz="1"/>
              <w:right w:val="single" w:color="CCCCCC" w:sz="1"/>
            </w:tcBorders>
          </w:tcPr>
          <w:p>
            <w:r>
              <w:t xml:space="preserve">Guide students to complete Step 1 (Guideline selection) and Step 2 (Credible research) in their worksheets. Discuss what makes a source credible (government bodies, accredited health organisations). Support students using search engines.</w:t>
            </w:r>
          </w:p>
        </w:tc>
        <w:tc>
          <w:tcPr>
            <w:tcW w:type="dxa" w:w="3546"/>
            <w:tcBorders>
              <w:top w:val="single" w:color="CCCCCC" w:sz="1"/>
              <w:left w:val="single" w:color="CCCCCC" w:sz="1"/>
              <w:bottom w:val="single" w:color="CCCCCC" w:sz="1"/>
              <w:right w:val="single" w:color="CCCCCC" w:sz="1"/>
            </w:tcBorders>
          </w:tcPr>
          <w:p>
            <w:r>
              <w:t xml:space="preserve">Select their guideline. Research online using laptops. Write down 3 trustworthy URLs (e.g., eatforhealth.gov.au, sunsmart.com.au) and 6 supporting facts on their worksheets.</w:t>
            </w:r>
          </w:p>
        </w:tc>
      </w:tr>
      <w:tr>
        <w:tc>
          <w:tcPr>
            <w:tcW w:type="dxa" w:w="800"/>
            <w:tcBorders>
              <w:top w:val="single" w:color="CCCCCC" w:sz="1"/>
              <w:left w:val="single" w:color="CCCCCC" w:sz="1"/>
              <w:bottom w:val="single" w:color="CCCCCC" w:sz="1"/>
              <w:right w:val="single" w:color="CCCCCC" w:sz="1"/>
            </w:tcBorders>
          </w:tcPr>
          <w:p>
            <w:pPr>
              <w:jc w:val="center"/>
            </w:pPr>
            <w:r>
              <w:t xml:space="preserve">15 min</w:t>
            </w:r>
          </w:p>
        </w:tc>
        <w:tc>
          <w:tcPr>
            <w:tcW w:type="dxa" w:w="1200"/>
            <w:tcBorders>
              <w:top w:val="single" w:color="CCCCCC" w:sz="1"/>
              <w:left w:val="single" w:color="CCCCCC" w:sz="1"/>
              <w:bottom w:val="single" w:color="CCCCCC" w:sz="1"/>
              <w:right w:val="single" w:color="CCCCCC" w:sz="1"/>
            </w:tcBorders>
          </w:tcPr>
          <w:p>
            <w:pPr>
              <w:jc w:val="center"/>
            </w:pPr>
            <w:r>
              <w:t xml:space="preserve">Create &amp; Craft</w:t>
            </w:r>
          </w:p>
        </w:tc>
        <w:tc>
          <w:tcPr>
            <w:tcW w:type="dxa" w:w="4200"/>
            <w:tcBorders>
              <w:top w:val="single" w:color="CCCCCC" w:sz="1"/>
              <w:left w:val="single" w:color="CCCCCC" w:sz="1"/>
              <w:bottom w:val="single" w:color="CCCCCC" w:sz="1"/>
              <w:right w:val="single" w:color="CCCCCC" w:sz="1"/>
            </w:tcBorders>
          </w:tcPr>
          <w:p>
            <w:r>
              <w:t xml:space="preserve">Model how to translate academic facts into snappy, educational copy. Encourage students to think about their audience. Circulate to check that Step 4 message sentences are direct, action-oriented, and memorable.</w:t>
            </w:r>
          </w:p>
        </w:tc>
        <w:tc>
          <w:tcPr>
            <w:tcW w:type="dxa" w:w="3546"/>
            <w:tcBorders>
              <w:top w:val="single" w:color="CCCCCC" w:sz="1"/>
              <w:left w:val="single" w:color="CCCCCC" w:sz="1"/>
              <w:bottom w:val="single" w:color="CCCCCC" w:sz="1"/>
              <w:right w:val="single" w:color="CCCCCC" w:sz="1"/>
            </w:tcBorders>
          </w:tcPr>
          <w:p>
            <w:r>
              <w:t xml:space="preserve">Select their 2 top facts. Brainstorm what peers must know and how to present it (humour, urgency). Craft their single-sentence health message in Step 4.</w:t>
            </w:r>
          </w:p>
        </w:tc>
      </w:tr>
      <w:tr>
        <w:tc>
          <w:tcPr>
            <w:tcW w:type="dxa" w:w="800"/>
            <w:tcBorders>
              <w:top w:val="single" w:color="CCCCCC" w:sz="1"/>
              <w:left w:val="single" w:color="CCCCCC" w:sz="1"/>
              <w:bottom w:val="single" w:color="CCCCCC" w:sz="1"/>
              <w:right w:val="single" w:color="CCCCCC" w:sz="1"/>
            </w:tcBorders>
          </w:tcPr>
          <w:p>
            <w:pPr>
              <w:jc w:val="center"/>
            </w:pPr>
            <w:r>
              <w:t xml:space="preserve">10 min</w:t>
            </w:r>
          </w:p>
        </w:tc>
        <w:tc>
          <w:tcPr>
            <w:tcW w:type="dxa" w:w="1200"/>
            <w:tcBorders>
              <w:top w:val="single" w:color="CCCCCC" w:sz="1"/>
              <w:left w:val="single" w:color="CCCCCC" w:sz="1"/>
              <w:bottom w:val="single" w:color="CCCCCC" w:sz="1"/>
              <w:right w:val="single" w:color="CCCCCC" w:sz="1"/>
            </w:tcBorders>
          </w:tcPr>
          <w:p>
            <w:pPr>
              <w:jc w:val="center"/>
            </w:pPr>
            <w:r>
              <w:t xml:space="preserve">Action/Design</w:t>
            </w:r>
          </w:p>
        </w:tc>
        <w:tc>
          <w:tcPr>
            <w:tcW w:type="dxa" w:w="4200"/>
            <w:tcBorders>
              <w:top w:val="single" w:color="CCCCCC" w:sz="1"/>
              <w:left w:val="single" w:color="CCCCCC" w:sz="1"/>
              <w:bottom w:val="single" w:color="CCCCCC" w:sz="1"/>
              <w:right w:val="single" w:color="CCCCCC" w:sz="1"/>
            </w:tcBorders>
          </w:tcPr>
          <w:p>
            <w:r>
              <w:t xml:space="preserve">Explain Step 5. Students must select a medium (poster, video script, podcast draft) and draw or outline their visual and narrative campaign elements. Support layout thinking.</w:t>
            </w:r>
          </w:p>
        </w:tc>
        <w:tc>
          <w:tcPr>
            <w:tcW w:type="dxa" w:w="3546"/>
            <w:tcBorders>
              <w:top w:val="single" w:color="CCCCCC" w:sz="1"/>
              <w:left w:val="single" w:color="CCCCCC" w:sz="1"/>
              <w:bottom w:val="single" w:color="CCCCCC" w:sz="1"/>
              <w:right w:val="single" w:color="CCCCCC" w:sz="1"/>
            </w:tcBorders>
          </w:tcPr>
          <w:p>
            <w:r>
              <w:t xml:space="preserve">Select their promotional medium. Draw a draft design, design visual mockups, or write script outlines directly on their worksheet.</w:t>
            </w:r>
          </w:p>
        </w:tc>
      </w:tr>
      <w:tr>
        <w:tc>
          <w:tcPr>
            <w:tcW w:type="dxa" w:w="800"/>
            <w:tcBorders>
              <w:top w:val="single" w:color="CCCCCC" w:sz="1"/>
              <w:left w:val="single" w:color="CCCCCC" w:sz="1"/>
              <w:bottom w:val="single" w:color="CCCCCC" w:sz="1"/>
              <w:right w:val="single" w:color="CCCCCC" w:sz="1"/>
            </w:tcBorders>
          </w:tcPr>
          <w:p>
            <w:pPr>
              <w:jc w:val="center"/>
            </w:pPr>
            <w:r>
              <w:t xml:space="preserve">10 min</w:t>
            </w:r>
          </w:p>
        </w:tc>
        <w:tc>
          <w:tcPr>
            <w:tcW w:type="dxa" w:w="1200"/>
            <w:tcBorders>
              <w:top w:val="single" w:color="CCCCCC" w:sz="1"/>
              <w:left w:val="single" w:color="CCCCCC" w:sz="1"/>
              <w:bottom w:val="single" w:color="CCCCCC" w:sz="1"/>
              <w:right w:val="single" w:color="CCCCCC" w:sz="1"/>
            </w:tcBorders>
          </w:tcPr>
          <w:p>
            <w:pPr>
              <w:jc w:val="center"/>
            </w:pPr>
            <w:r>
              <w:t xml:space="preserve">Review &amp; Wrap</w:t>
            </w:r>
          </w:p>
        </w:tc>
        <w:tc>
          <w:tcPr>
            <w:tcW w:type="dxa" w:w="4200"/>
            <w:tcBorders>
              <w:top w:val="single" w:color="CCCCCC" w:sz="1"/>
              <w:left w:val="single" w:color="CCCCCC" w:sz="1"/>
              <w:bottom w:val="single" w:color="CCCCCC" w:sz="1"/>
              <w:right w:val="single" w:color="CCCCCC" w:sz="1"/>
            </w:tcBorders>
          </w:tcPr>
          <w:p>
            <w:r>
              <w:t xml:space="preserve">Ask students to complete the 3 evaluation questions. Bring the class together. Pre-select a few students to present their health message and draft campaigns. Summarise lessons and conclude.</w:t>
            </w:r>
          </w:p>
        </w:tc>
        <w:tc>
          <w:tcPr>
            <w:tcW w:type="dxa" w:w="3546"/>
            <w:tcBorders>
              <w:top w:val="single" w:color="CCCCCC" w:sz="1"/>
              <w:left w:val="single" w:color="CCCCCC" w:sz="1"/>
              <w:bottom w:val="single" w:color="CCCCCC" w:sz="1"/>
              <w:right w:val="single" w:color="CCCCCC" w:sz="1"/>
            </w:tcBorders>
          </w:tcPr>
          <w:p>
            <w:r>
              <w:t xml:space="preserve">Conduct self-review (credibility, communication channel, personal/social value). Present ideas to peers. Note down classmates' feedback.</w:t>
            </w:r>
          </w:p>
        </w:tc>
      </w:tr>
    </w:tbl>
    <w:p>
      <w:pPr>
        <w:spacing w:before="300"/>
      </w:pPr>
    </w:p>
    <w:p>
      <w:pPr>
        <w:pStyle w:val="Heading2"/>
      </w:pPr>
      <w:r>
        <w:t xml:space="preserve">Differentiation Strategies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4873"/>
        <w:gridCol w:w="4873"/>
      </w:tblGrid>
      <w:tr>
        <w:tc>
          <w:tcPr>
            <w:tcW w:type="dxa" w:w="4873"/>
            <w:tcBorders>
              <w:top w:val="single" w:color="CCCCCC" w:sz="1"/>
              <w:left w:val="single" w:color="CCCCCC" w:sz="1"/>
              <w:bottom w:val="single" w:color="CCCCCC" w:sz="1"/>
              <w:right w:val="single" w:color="CCCCCC" w:sz="1"/>
            </w:tcBorders>
            <w:shd w:fill="F2F2F2" w:val="clear"/>
          </w:tcPr>
          <w:p>
            <w:r>
              <w:rPr>
                <w:b/>
                <w:bCs/>
              </w:rPr>
              <w:t xml:space="preserve">Support Strategies</w:t>
            </w:r>
          </w:p>
        </w:tc>
        <w:tc>
          <w:tcPr>
            <w:tcW w:type="dxa" w:w="4873"/>
            <w:tcBorders>
              <w:top w:val="single" w:color="CCCCCC" w:sz="1"/>
              <w:left w:val="single" w:color="CCCCCC" w:sz="1"/>
              <w:bottom w:val="single" w:color="CCCCCC" w:sz="1"/>
              <w:right w:val="single" w:color="CCCCCC" w:sz="1"/>
            </w:tcBorders>
            <w:shd w:fill="F2F2F2" w:val="clear"/>
          </w:tcPr>
          <w:p>
            <w:r>
              <w:rPr>
                <w:b/>
                <w:bCs/>
              </w:rPr>
              <w:t xml:space="preserve">Extension Strategies</w:t>
            </w:r>
          </w:p>
        </w:tc>
      </w:tr>
      <w:tr>
        <w:tc>
          <w:tcPr>
            <w:tcW w:type="dxa" w:w="4873"/>
            <w:tcBorders>
              <w:top w:val="single" w:color="CCCCCC" w:sz="1"/>
              <w:left w:val="single" w:color="CCCCCC" w:sz="1"/>
              <w:bottom w:val="single" w:color="CCCCCC" w:sz="1"/>
              <w:right w:val="single" w:color="CCCCCC" w:sz="1"/>
            </w:tcBorders>
          </w:tcPr>
          <w:p>
            <w:pPr>
              <w:pStyle w:val="ListParagraph"/>
              <w:numPr>
                <w:ilvl w:val="0"/>
                <w:numId w:val="2"/>
              </w:numPr>
            </w:pPr>
            <w:r>
              <w:t xml:space="preserve">Pre-select a set of 2 credible websites and key facts for specific guidelines to avoid research fatigue.</w:t>
            </w:r>
          </w:p>
          <w:p>
            <w:pPr>
              <w:pStyle w:val="ListParagraph"/>
              <w:numPr>
                <w:ilvl w:val="0"/>
                <w:numId w:val="2"/>
              </w:numPr>
            </w:pPr>
            <w:r>
              <w:t xml:space="preserve">Provide sentence starters for the Step 4 health message and Step 6 reflections.</w:t>
            </w:r>
          </w:p>
          <w:p>
            <w:pPr>
              <w:pStyle w:val="ListParagraph"/>
              <w:numPr>
                <w:ilvl w:val="0"/>
                <w:numId w:val="2"/>
              </w:numPr>
            </w:pPr>
            <w:r>
              <w:t xml:space="preserve">Pair students for research and brainstorming phases.</w:t>
            </w:r>
          </w:p>
        </w:tc>
        <w:tc>
          <w:tcPr>
            <w:tcW w:type="dxa" w:w="4873"/>
            <w:tcBorders>
              <w:top w:val="single" w:color="CCCCCC" w:sz="1"/>
              <w:left w:val="single" w:color="CCCCCC" w:sz="1"/>
              <w:bottom w:val="single" w:color="CCCCCC" w:sz="1"/>
              <w:right w:val="single" w:color="CCCCCC" w:sz="1"/>
            </w:tcBorders>
          </w:tcPr>
          <w:p>
            <w:pPr>
              <w:pStyle w:val="ListParagraph"/>
              <w:numPr>
                <w:ilvl w:val="0"/>
                <w:numId w:val="2"/>
              </w:numPr>
            </w:pPr>
            <w:r>
              <w:t xml:space="preserve">Encourage students to design a multi-channel campaign (e.g., combining a physical poster with a podcast script).</w:t>
            </w:r>
          </w:p>
          <w:p>
            <w:pPr>
              <w:pStyle w:val="ListParagraph"/>
              <w:numPr>
                <w:ilvl w:val="0"/>
                <w:numId w:val="2"/>
              </w:numPr>
            </w:pPr>
            <w:r>
              <w:t xml:space="preserve">Analyse the psychological triggers of popular media ads (e.g., how fear vs. humour shapes peer decisions).</w:t>
            </w:r>
          </w:p>
          <w:p>
            <w:pPr>
              <w:pStyle w:val="ListParagraph"/>
              <w:numPr>
                <w:ilvl w:val="0"/>
                <w:numId w:val="2"/>
              </w:numPr>
            </w:pPr>
            <w:r>
              <w:t xml:space="preserve">Compare the effectiveness of digital vs. analogue distribution in their school context.</w:t>
            </w:r>
          </w:p>
        </w:tc>
      </w:tr>
    </w:tbl>
    <w:p>
      <w:pPr>
        <w:spacing w:before="300"/>
      </w:pPr>
    </w:p>
    <w:p>
      <w:pPr>
        <w:pStyle w:val="Heading2"/>
      </w:pPr>
      <w:r>
        <w:t xml:space="preserve">Teacher Reflection Notes</w:t>
      </w:r>
    </w:p>
    <w:p>
      <w:r>
        <w:t xml:space="preserve">What worked well in translating guidelines to media messages? How did students handle evaluating digital source credibility? Were students able to link their campaign message to their personal wellbeing? What will I change in next lesson?</w:t>
      </w:r>
    </w:p>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pPr>
      <w:spacing w:after="120" w:before="240"/>
      <w:jc w:val="center"/>
    </w:pPr>
    <w:rPr>
      <w:rFonts w:ascii="Arial" w:cs="Arial" w:eastAsia="Arial" w:hAnsi="Arial"/>
      <w:b/>
      <w:bCs/>
      <w:color w:val="2E5984"/>
      <w:sz w:val="36"/>
      <w:szCs w:val="36"/>
    </w:rPr>
  </w:style>
  <w:style w:type="paragraph" w:styleId="Heading1">
    <w:name w:val="Heading 1"/>
    <w:basedOn w:val="Normal"/>
    <w:pPr>
      <w:spacing w:after="120" w:before="240"/>
      <w:outlineLvl w:val="0"/>
    </w:pPr>
    <w:rPr>
      <w:rFonts w:ascii="Arial" w:cs="Arial" w:eastAsia="Arial" w:hAnsi="Arial"/>
      <w:b/>
      <w:bCs/>
      <w:color w:val="118EC4"/>
      <w:sz w:val="26"/>
      <w:szCs w:val="26"/>
    </w:rPr>
  </w:style>
  <w:style w:type="paragraph" w:styleId="Heading2">
    <w:name w:val="Heading 2"/>
    <w:basedOn w:val="Normal"/>
    <w:pPr>
      <w:spacing w:after="120" w:before="180"/>
      <w:outlineLvl w:val="1"/>
    </w:pPr>
    <w:rPr>
      <w:rFonts w:ascii="Arial" w:cs="Arial" w:eastAsia="Arial" w:hAnsi="Arial"/>
      <w:b/>
      <w:bCs/>
      <w:color w:val="2E598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2026-05-26T21:58:27.558Z</dcterms:created>
  <dcterms:modified xsi:type="dcterms:W3CDTF">2026-05-26T21:58:27.558Z</dcterms:modified>
</cp:coreProperties>
</file>

<file path=docProps/custom.xml><?xml version="1.0" encoding="utf-8"?>
<Properties xmlns="http://schemas.openxmlformats.org/officeDocument/2006/custom-properties" xmlns:vt="http://schemas.openxmlformats.org/officeDocument/2006/docPropsVTypes"/>
</file>