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40" w:lineRule="auto"/>
      </w:pPr>
      <w:r>
        <w:rPr>
          <w:rFonts w:ascii="Calibri" w:hAnsi="Calibri"/>
          <w:b/>
          <w:color w:val="4E7D62"/>
          <w:sz w:val="18"/>
        </w:rPr>
        <w:t>ORIGINAL CLASSROOM FEATURE</w:t>
      </w:r>
    </w:p>
    <w:p>
      <w:pPr>
        <w:keepNext/>
        <w:spacing w:before="0" w:after="60" w:line="240" w:lineRule="auto"/>
      </w:pPr>
      <w:r>
        <w:rPr>
          <w:rFonts w:ascii="Calibri" w:hAnsi="Calibri"/>
          <w:b/>
          <w:color w:val="23332B"/>
          <w:sz w:val="46"/>
        </w:rPr>
        <w:t>One Cup, Two Loyalties</w:t>
      </w:r>
    </w:p>
    <w:p>
      <w:pPr>
        <w:keepNext w:val="0"/>
        <w:spacing w:before="0" w:after="160" w:line="252" w:lineRule="auto"/>
        <w:pBdr>
          <w:bottom w:val="single" w:sz="16" w:space="8" w:color="E4B44B"/>
        </w:pBdr>
      </w:pPr>
      <w:r>
        <w:rPr>
          <w:rFonts w:ascii="Calibri" w:hAnsi="Calibri"/>
          <w:i/>
          <w:color w:val="657069"/>
          <w:sz w:val="23"/>
        </w:rPr>
        <w:t>Can an environmental argument protect both a principle and a family relationship?</w:t>
      </w:r>
    </w:p>
    <w:p>
      <w:pPr>
        <w:keepNext w:val="0"/>
        <w:spacing w:before="0" w:after="120" w:line="240" w:lineRule="auto"/>
        <w:jc w:val="right"/>
      </w:pPr>
      <w:r>
        <w:rPr>
          <w:rFonts w:ascii="Calibri" w:hAnsi="Calibri"/>
          <w:b/>
          <w:color w:val="657069"/>
          <w:sz w:val="17"/>
        </w:rPr>
        <w:t>READ  |  MARK V / C / E / T</w:t>
      </w:r>
    </w:p>
    <w:p>
      <w:pPr>
        <w:keepNext w:val="0"/>
        <w:spacing w:before="90" w:after="90" w:line="276" w:lineRule="auto"/>
        <w:shd w:fill="FFF3D9"/>
        <w:pBdr>
          <w:left w:val="single" w:sz="22" w:space="8" w:color="C9664D"/>
        </w:pBdr>
      </w:pPr>
      <w:r>
        <w:rPr>
          <w:rFonts w:ascii="Calibri" w:hAnsi="Calibri"/>
          <w:b/>
          <w:color w:val="C9664D"/>
          <w:sz w:val="21"/>
        </w:rPr>
        <w:t xml:space="preserve">Decision: </w:t>
      </w:r>
      <w:r>
        <w:rPr>
          <w:rFonts w:ascii="Calibri" w:hAnsi="Calibri"/>
          <w:color w:val="26332C"/>
          <w:sz w:val="21"/>
        </w:rPr>
        <w:t>Should the fictional Rahman family trial a reusable-cup system at Sunrise Corner Cafe for four weeks?</w:t>
      </w:r>
    </w:p>
    <w:p>
      <w:pPr>
        <w:keepNext w:val="0"/>
        <w:spacing w:before="90" w:after="90" w:line="276" w:lineRule="auto"/>
        <w:shd w:fill="EDF5EE"/>
        <w:pBdr>
          <w:left w:val="single" w:sz="22" w:space="8" w:color="4E7D62"/>
        </w:pBdr>
      </w:pPr>
      <w:r>
        <w:rPr>
          <w:rFonts w:ascii="Calibri" w:hAnsi="Calibri"/>
          <w:b/>
          <w:color w:val="4E7D62"/>
          <w:sz w:val="21"/>
        </w:rPr>
        <w:t xml:space="preserve">Fiction boundary: </w:t>
      </w:r>
      <w:r>
        <w:rPr>
          <w:rFonts w:ascii="Calibri" w:hAnsi="Calibri"/>
          <w:color w:val="26332C"/>
          <w:sz w:val="21"/>
        </w:rPr>
        <w:t>Sunrise Corner Cafe, the Rahman family and every quotation are invented. The evidence panel summarises the official sources listed at the end.</w:t>
      </w:r>
    </w:p>
    <w:p>
      <w:pPr>
        <w:pStyle w:val="Heading1"/>
        <w:keepNext/>
        <w:spacing w:before="180" w:after="100" w:line="240" w:lineRule="auto"/>
      </w:pPr>
      <w:r>
        <w:rPr>
          <w:rFonts w:ascii="Calibri" w:hAnsi="Calibri"/>
          <w:b/>
          <w:color w:val="29483A"/>
          <w:sz w:val="30"/>
        </w:rPr>
        <w:t>The poster on the pantry door</w:t>
      </w:r>
    </w:p>
    <w:p>
      <w:pPr>
        <w:keepNext w:val="0"/>
        <w:spacing w:before="0" w:after="80" w:line="276" w:lineRule="auto"/>
      </w:pPr>
      <w:r>
        <w:rPr>
          <w:rFonts w:ascii="Calibri" w:hAnsi="Calibri"/>
          <w:b w:val="0"/>
          <w:i w:val="0"/>
          <w:color w:val="26332C"/>
          <w:sz w:val="21"/>
        </w:rPr>
        <w:t>At 6:35 on Friday morning, Leila Rahman taped a poster to the pantry door of her family's cafe. In thick green letters it asked, 'How many throwaway cups does one busy morning need?' Underneath, she had written a proposal: for four weeks, Sunrise Corner would reward customers who brought a clean reusable cup, offer ceramic mugs to people drinking inside and test a small returnable-mug shelf for regular customers.</w:t>
      </w:r>
    </w:p>
    <w:p>
      <w:pPr>
        <w:keepNext w:val="0"/>
        <w:spacing w:before="0" w:after="80" w:line="276" w:lineRule="auto"/>
      </w:pPr>
      <w:r>
        <w:rPr>
          <w:rFonts w:ascii="Calibri" w:hAnsi="Calibri"/>
          <w:b w:val="0"/>
          <w:i w:val="0"/>
          <w:color w:val="26332C"/>
          <w:sz w:val="21"/>
        </w:rPr>
        <w:t>Leila had spent the school holidays helping at the register. She saw towers of cups arrive in cardboard sleeves and watched the bins fill before lunchtime. To her, the cups represented a choice repeated so often that it became invisible. She wanted her family to show that a small business could lead change instead of waiting for somebody else.</w:t>
      </w:r>
    </w:p>
    <w:p>
      <w:pPr>
        <w:keepNext w:val="0"/>
        <w:spacing w:before="0" w:after="80" w:line="276" w:lineRule="auto"/>
      </w:pPr>
      <w:r>
        <w:rPr>
          <w:rFonts w:ascii="Calibri" w:hAnsi="Calibri"/>
          <w:b w:val="0"/>
          <w:i w:val="0"/>
          <w:color w:val="26332C"/>
          <w:sz w:val="21"/>
        </w:rPr>
        <w:t>Her first slogan sounded powerful: 'Our cafe is choosing convenience over the planet.' When she read it again, however, she imagined her aunt standing beside the coffee machine. The sentence made the adults sound careless. Leila knew that was not true.</w:t>
      </w:r>
    </w:p>
    <w:p>
      <w:pPr>
        <w:pStyle w:val="Heading1"/>
        <w:keepNext/>
        <w:spacing w:before="180" w:after="100" w:line="240" w:lineRule="auto"/>
      </w:pPr>
      <w:r>
        <w:rPr>
          <w:rFonts w:ascii="Calibri" w:hAnsi="Calibri"/>
          <w:b/>
          <w:color w:val="29483A"/>
          <w:sz w:val="30"/>
        </w:rPr>
        <w:t>What the slogan leaves out</w:t>
      </w:r>
    </w:p>
    <w:p>
      <w:pPr>
        <w:keepNext w:val="0"/>
        <w:spacing w:before="0" w:after="80" w:line="276" w:lineRule="auto"/>
      </w:pPr>
      <w:r>
        <w:rPr>
          <w:rFonts w:ascii="Calibri" w:hAnsi="Calibri"/>
          <w:b w:val="0"/>
          <w:i w:val="0"/>
          <w:color w:val="26332C"/>
          <w:sz w:val="21"/>
        </w:rPr>
        <w:t>Aunt Samira opened the cafe most mornings and managed the busiest hour. She checked food deliveries, trained new staff and made sure wages could be paid. She liked Leila's goal, but she did not like being treated as an obstacle.</w:t>
      </w:r>
    </w:p>
    <w:p>
      <w:pPr>
        <w:keepNext w:val="0"/>
        <w:spacing w:before="90" w:after="90" w:line="276" w:lineRule="auto"/>
        <w:shd w:fill="FFF3D9"/>
        <w:pBdr>
          <w:left w:val="single" w:sz="22" w:space="8" w:color="C9664D"/>
        </w:pBdr>
      </w:pPr>
      <w:r>
        <w:rPr>
          <w:rFonts w:ascii="Calibri" w:hAnsi="Calibri"/>
          <w:b/>
          <w:color w:val="C9664D"/>
          <w:sz w:val="21"/>
        </w:rPr>
        <w:t xml:space="preserve">Aunt Samira: </w:t>
      </w:r>
      <w:r>
        <w:rPr>
          <w:rFonts w:ascii="Calibri" w:hAnsi="Calibri"/>
          <w:color w:val="26332C"/>
          <w:sz w:val="21"/>
        </w:rPr>
        <w:t>A good idea still has to work at 7:45, when twenty people are waiting and a customer hands us a cup that may not be clean.</w:t>
      </w:r>
    </w:p>
    <w:p>
      <w:pPr>
        <w:keepNext w:val="0"/>
        <w:spacing w:before="0" w:after="80" w:line="276" w:lineRule="auto"/>
      </w:pPr>
      <w:r>
        <w:rPr>
          <w:rFonts w:ascii="Calibri" w:hAnsi="Calibri"/>
          <w:b w:val="0"/>
          <w:i w:val="0"/>
          <w:color w:val="26332C"/>
          <w:sz w:val="21"/>
        </w:rPr>
        <w:t>Her concern was not a secret wish to keep wasting cups. She wanted answers. Who would inspect a customer's cup? Where would staff place it so it did not touch the service area? What would happen if a cup was dirty, damaged or too small? Would a mug-return shelf create extra washing during the rush? What would the cafe offer a customer who forgot a cup or could not use one?</w:t>
      </w:r>
    </w:p>
    <w:p>
      <w:pPr>
        <w:keepNext w:val="0"/>
        <w:spacing w:before="0" w:after="80" w:line="276" w:lineRule="auto"/>
      </w:pPr>
      <w:r>
        <w:rPr>
          <w:rFonts w:ascii="Calibri" w:hAnsi="Calibri"/>
          <w:b w:val="0"/>
          <w:i w:val="0"/>
          <w:color w:val="26332C"/>
          <w:sz w:val="21"/>
        </w:rPr>
        <w:t>Leila felt the argument changing. She could repeat that waste mattered, but that bare assertion did not answer the people affected by her proposal. If she wanted a family decision rather than a family fight, she needed to acknowledge the concern accurately and propose a test that could produce local evidence.</w:t>
      </w:r>
    </w:p>
    <w:p>
      <w:pPr>
        <w:keepNext w:val="0"/>
        <w:spacing w:before="90" w:after="90" w:line="276" w:lineRule="auto"/>
        <w:shd w:fill="FFF3D9"/>
        <w:pBdr>
          <w:left w:val="single" w:sz="22" w:space="8" w:color="E4B44B"/>
        </w:pBdr>
      </w:pPr>
      <w:r>
        <w:rPr>
          <w:rFonts w:ascii="Calibri" w:hAnsi="Calibri"/>
          <w:b/>
          <w:color w:val="E4B44B"/>
          <w:sz w:val="21"/>
        </w:rPr>
        <w:t xml:space="preserve">Mark the feature: </w:t>
      </w:r>
      <w:r>
        <w:rPr>
          <w:rFonts w:ascii="Calibri" w:hAnsi="Calibri"/>
          <w:color w:val="26332C"/>
          <w:sz w:val="21"/>
        </w:rPr>
        <w:t>V = value or responsibility  |  C = genuine concern  |  E = checkable evidence  |  T = persuasive technique or framing</w:t>
      </w:r>
    </w:p>
    <w:p>
      <w:r>
        <w:br w:type="page"/>
      </w:r>
    </w:p>
    <w:p>
      <w:pPr>
        <w:pStyle w:val="Heading1"/>
        <w:keepNext/>
        <w:spacing w:before="180" w:after="100" w:line="240" w:lineRule="auto"/>
      </w:pPr>
      <w:r>
        <w:rPr>
          <w:rFonts w:ascii="Calibri" w:hAnsi="Calibri"/>
          <w:b/>
          <w:color w:val="29483A"/>
          <w:sz w:val="30"/>
        </w:rPr>
        <w:t>Evidence that changes the conversation</w:t>
      </w:r>
    </w:p>
    <w:p>
      <w:pPr>
        <w:keepNext w:val="0"/>
        <w:spacing w:before="0" w:after="80" w:line="276" w:lineRule="auto"/>
      </w:pPr>
      <w:r>
        <w:rPr>
          <w:rFonts w:ascii="Calibri" w:hAnsi="Calibri"/>
          <w:b w:val="0"/>
          <w:i w:val="0"/>
          <w:color w:val="26332C"/>
          <w:sz w:val="21"/>
        </w:rPr>
        <w:t>Queensland Government guidance for businesses suggests offering customers an incentive to bring a reusable cup or drink in store. It also suggests a mug-return program, possibly using a deposit. These are options, not guarantees. The guidance does not say that every cafe must use the same system or that one system will suit every queue, customer and workspace.</w:t>
      </w:r>
    </w:p>
    <w:p>
      <w:pPr>
        <w:keepNext w:val="0"/>
        <w:spacing w:before="0" w:after="80" w:line="276" w:lineRule="auto"/>
      </w:pPr>
      <w:r>
        <w:rPr>
          <w:rFonts w:ascii="Calibri" w:hAnsi="Calibri"/>
          <w:b w:val="0"/>
          <w:i w:val="0"/>
          <w:color w:val="26332C"/>
          <w:sz w:val="21"/>
        </w:rPr>
        <w:t>Food Standards Australia New Zealand explains that the Food Standards Code does not specifically require a business to accept a customer's reusable cup. A business may decide whether to accept one. It should have a policy for customer cups and consider cleaning, sanitising and cross-contamination. The business remains responsible for ensuring food is safe and suitable.</w:t>
      </w:r>
    </w:p>
    <w:p>
      <w:pPr>
        <w:keepNext w:val="0"/>
        <w:spacing w:before="0" w:after="80" w:line="276" w:lineRule="auto"/>
      </w:pPr>
      <w:r>
        <w:rPr>
          <w:rFonts w:ascii="Calibri" w:hAnsi="Calibri"/>
          <w:b w:val="0"/>
          <w:i w:val="0"/>
          <w:color w:val="26332C"/>
          <w:sz w:val="21"/>
        </w:rPr>
        <w:t>Disposal can also depend on local services. Brisbane City Council currently directs people to participating drop-off points for coffee cups rather than presenting them as an ordinary yellow-bin item. That local example is a warning against a sweeping claim such as 'all paper cups are easily recycled'. A careful writer checks the exact cup and the exact local pathway.</w:t>
      </w:r>
    </w:p>
    <w:p>
      <w:pPr>
        <w:keepNext w:val="0"/>
        <w:spacing w:before="90" w:after="90" w:line="276" w:lineRule="auto"/>
        <w:shd w:fill="EDF5EE"/>
        <w:pBdr>
          <w:left w:val="single" w:sz="22" w:space="8" w:color="4E7D62"/>
        </w:pBdr>
      </w:pPr>
      <w:r>
        <w:rPr>
          <w:rFonts w:ascii="Calibri" w:hAnsi="Calibri"/>
          <w:b/>
          <w:color w:val="4E7D62"/>
          <w:sz w:val="21"/>
        </w:rPr>
        <w:t xml:space="preserve">Evidence boundary: </w:t>
      </w:r>
      <w:r>
        <w:rPr>
          <w:rFonts w:ascii="Calibri" w:hAnsi="Calibri"/>
          <w:color w:val="26332C"/>
          <w:sz w:val="21"/>
        </w:rPr>
        <w:t>Official guidance supports avoidance, reuse and a clear safety policy. It does not prove that a four-week trial will succeed, remove all waste or cause no delay. The trial can collect local evidence about participation, workflow and safety concerns.</w:t>
      </w:r>
    </w:p>
    <w:p>
      <w:pPr>
        <w:pStyle w:val="Heading1"/>
        <w:keepNext/>
        <w:spacing w:before="180" w:after="100" w:line="240" w:lineRule="auto"/>
      </w:pPr>
      <w:r>
        <w:rPr>
          <w:rFonts w:ascii="Calibri" w:hAnsi="Calibri"/>
          <w:b/>
          <w:color w:val="29483A"/>
          <w:sz w:val="30"/>
        </w:rPr>
        <w:t>Two drafts for the family meeting</w:t>
      </w:r>
    </w:p>
    <w:tbl>
      <w:tblPr>
        <w:tblStyle w:val="TableGrid"/>
        <w:tblW w:type="dxa" w:w="10178"/>
        <w:jc w:val="left"/>
        <w:tblLayout w:type="fixed"/>
        <w:tblLook w:firstColumn="1" w:firstRow="1" w:lastColumn="0" w:lastRow="0" w:noHBand="0" w:noVBand="1" w:val="04A0"/>
        <w:tblInd w:w="120" w:type="dxa"/>
      </w:tblPr>
      <w:tblGrid>
        <w:gridCol w:w="5089"/>
        <w:gridCol w:w="5089"/>
      </w:tblGrid>
      <w:tr>
        <w:trPr>
          <w:cantSplit/>
          <w:tblHeader w:val="true"/>
        </w:trPr>
        <w:tc>
          <w:tcPr>
            <w:tcW w:type="dxa" w:w="5089"/>
            <w:vAlign w:val="center"/>
            <w:tcMar>
              <w:top w:w="90" w:type="dxa"/>
              <w:start w:w="120" w:type="dxa"/>
              <w:bottom w:w="90" w:type="dxa"/>
              <w:end w:w="120" w:type="dxa"/>
            </w:tcMar>
            <w:shd w:fill="29483A"/>
          </w:tcPr>
          <w:p>
            <w:pPr>
              <w:keepNext w:val="0"/>
              <w:spacing w:before="0" w:after="0" w:line="259" w:lineRule="auto"/>
              <w:jc w:val="center"/>
            </w:pPr>
            <w:r/>
            <w:r>
              <w:rPr>
                <w:rFonts w:ascii="Calibri" w:hAnsi="Calibri"/>
                <w:b/>
                <w:color w:val="FFFFFF"/>
                <w:sz w:val="18"/>
              </w:rPr>
              <w:t>Draft A - Heat</w:t>
            </w:r>
          </w:p>
        </w:tc>
        <w:tc>
          <w:tcPr>
            <w:tcW w:type="dxa" w:w="5089"/>
            <w:vAlign w:val="center"/>
            <w:tcMar>
              <w:top w:w="90" w:type="dxa"/>
              <w:start w:w="120" w:type="dxa"/>
              <w:bottom w:w="90" w:type="dxa"/>
              <w:end w:w="120" w:type="dxa"/>
            </w:tcMar>
            <w:shd w:fill="29483A"/>
          </w:tcPr>
          <w:p>
            <w:pPr>
              <w:keepNext w:val="0"/>
              <w:spacing w:before="0" w:after="0" w:line="259" w:lineRule="auto"/>
              <w:jc w:val="center"/>
            </w:pPr>
            <w:r/>
            <w:r>
              <w:rPr>
                <w:rFonts w:ascii="Calibri" w:hAnsi="Calibri"/>
                <w:b/>
                <w:color w:val="FFFFFF"/>
                <w:sz w:val="18"/>
              </w:rPr>
              <w:t>Draft B - FAIR bridge</w:t>
            </w:r>
          </w:p>
        </w:tc>
      </w:tr>
      <w:tr>
        <w:tc>
          <w:tcPr>
            <w:tcW w:type="dxa" w:w="5089"/>
          </w:tcPr>
          <w:p>
            <w:pPr>
              <w:keepNext w:val="0"/>
              <w:spacing w:before="0" w:after="0" w:line="259" w:lineRule="auto"/>
            </w:pPr>
            <w:r/>
            <w:r>
              <w:rPr>
                <w:rFonts w:ascii="Calibri" w:hAnsi="Calibri"/>
                <w:b w:val="0"/>
                <w:color w:val="26332C"/>
                <w:sz w:val="18"/>
              </w:rPr>
              <w:t>Our throwaway habit is choking the planet because the cafe refuses to change. How can money matter more than our future? We must ban disposable cups now.</w:t>
            </w:r>
          </w:p>
        </w:tc>
        <w:tc>
          <w:tcPr>
            <w:tcW w:type="dxa" w:w="5089"/>
          </w:tcPr>
          <w:p>
            <w:pPr>
              <w:keepNext w:val="0"/>
              <w:spacing w:before="0" w:after="0" w:line="259" w:lineRule="auto"/>
            </w:pPr>
            <w:r/>
            <w:r>
              <w:rPr>
                <w:rFonts w:ascii="Calibri" w:hAnsi="Calibri"/>
                <w:b w:val="0"/>
                <w:color w:val="26332C"/>
                <w:sz w:val="18"/>
              </w:rPr>
              <w:t>We all want Sunrise Corner to remain welcoming and responsible. A morning rush makes safety and speed genuine concerns. Official guidance shows that a cafe can set a clear customer-cup policy, so we should test a four-week system and measure what happens.</w:t>
            </w:r>
          </w:p>
        </w:tc>
      </w:tr>
    </w:tbl>
    <w:p>
      <w:pPr>
        <w:keepNext w:val="0"/>
        <w:spacing w:before="0" w:after="40" w:line="276" w:lineRule="auto"/>
      </w:pPr>
    </w:p>
    <w:p>
      <w:pPr>
        <w:keepNext w:val="0"/>
        <w:spacing w:before="0" w:after="80" w:line="276" w:lineRule="auto"/>
      </w:pPr>
      <w:r>
        <w:rPr>
          <w:rFonts w:ascii="Calibri" w:hAnsi="Calibri"/>
          <w:b w:val="0"/>
          <w:i w:val="0"/>
          <w:color w:val="26332C"/>
          <w:sz w:val="21"/>
        </w:rPr>
        <w:t>Draft A uses urgent emotive language, a rhetorical question and strong modality. Those techniques create force, but the draft invents an unfair motive and promises an immediate ban without answering practical concerns. Draft B is less heated but more defensible. It uses inclusive language, a fair concession, evidence and a proportionate call to action.</w:t>
      </w:r>
    </w:p>
    <w:p>
      <w:pPr>
        <w:pStyle w:val="Heading1"/>
        <w:keepNext/>
        <w:spacing w:before="180" w:after="100" w:line="240" w:lineRule="auto"/>
      </w:pPr>
      <w:r>
        <w:rPr>
          <w:rFonts w:ascii="Calibri" w:hAnsi="Calibri"/>
          <w:b/>
          <w:color w:val="29483A"/>
          <w:sz w:val="30"/>
        </w:rPr>
        <w:t>The proposal Leila can defend</w:t>
      </w:r>
    </w:p>
    <w:p>
      <w:pPr>
        <w:pStyle w:val="ListBullet"/>
        <w:keepNext w:val="0"/>
        <w:spacing w:before="0" w:after="80" w:line="276" w:lineRule="auto"/>
      </w:pPr>
      <w:r>
        <w:rPr>
          <w:rFonts w:ascii="Calibri" w:hAnsi="Calibri"/>
          <w:color w:val="26332C"/>
          <w:sz w:val="21"/>
        </w:rPr>
        <w:t>Frame a shared goal: a welcoming, safe and responsible cafe.</w:t>
      </w:r>
    </w:p>
    <w:p>
      <w:pPr>
        <w:pStyle w:val="ListBullet"/>
        <w:keepNext w:val="0"/>
        <w:spacing w:before="0" w:after="80" w:line="276" w:lineRule="auto"/>
      </w:pPr>
      <w:r>
        <w:rPr>
          <w:rFonts w:ascii="Calibri" w:hAnsi="Calibri"/>
          <w:color w:val="26332C"/>
          <w:sz w:val="21"/>
        </w:rPr>
        <w:t>Acknowledge a fair concern: staff must protect food safety and morning workflow.</w:t>
      </w:r>
    </w:p>
    <w:p>
      <w:pPr>
        <w:pStyle w:val="ListBullet"/>
        <w:keepNext w:val="0"/>
        <w:spacing w:before="0" w:after="80" w:line="276" w:lineRule="auto"/>
      </w:pPr>
      <w:r>
        <w:rPr>
          <w:rFonts w:ascii="Calibri" w:hAnsi="Calibri"/>
          <w:color w:val="26332C"/>
          <w:sz w:val="21"/>
        </w:rPr>
        <w:t>Introduce relevant evidence: a cafe can choose a policy and test incentives or mug return.</w:t>
      </w:r>
    </w:p>
    <w:p>
      <w:pPr>
        <w:pStyle w:val="ListBullet"/>
        <w:keepNext w:val="0"/>
        <w:spacing w:before="0" w:after="80" w:line="276" w:lineRule="auto"/>
      </w:pPr>
      <w:r>
        <w:rPr>
          <w:rFonts w:ascii="Calibri" w:hAnsi="Calibri"/>
          <w:color w:val="26332C"/>
          <w:sz w:val="21"/>
        </w:rPr>
        <w:t>Recommend a workable action: trial, safeguard, measure and review.</w:t>
      </w:r>
    </w:p>
    <w:p>
      <w:pPr>
        <w:keepNext w:val="0"/>
        <w:spacing w:before="90" w:after="90" w:line="276" w:lineRule="auto"/>
        <w:shd w:fill="FFF3D9"/>
        <w:pBdr>
          <w:left w:val="single" w:sz="22" w:space="8" w:color="C9664D"/>
        </w:pBdr>
      </w:pPr>
      <w:r>
        <w:rPr>
          <w:rFonts w:ascii="Calibri" w:hAnsi="Calibri"/>
          <w:b/>
          <w:color w:val="C9664D"/>
          <w:sz w:val="21"/>
        </w:rPr>
        <w:t xml:space="preserve">Open-letter challenge: </w:t>
      </w:r>
      <w:r>
        <w:rPr>
          <w:rFonts w:ascii="Calibri" w:hAnsi="Calibri"/>
          <w:color w:val="26332C"/>
          <w:sz w:val="21"/>
        </w:rPr>
        <w:t>Write 9-11 sentences to the Rahman family. Be firm about the ethical goal, fair about the family's responsibilities and specific about what the four-week trial will test.</w:t>
      </w:r>
    </w:p>
    <w:p>
      <w:r>
        <w:br w:type="page"/>
      </w:r>
    </w:p>
    <w:p>
      <w:pPr>
        <w:pStyle w:val="Heading1"/>
        <w:keepNext/>
        <w:spacing w:before="180" w:after="100" w:line="240" w:lineRule="auto"/>
      </w:pPr>
      <w:r>
        <w:rPr>
          <w:rFonts w:ascii="Calibri" w:hAnsi="Calibri"/>
          <w:b/>
          <w:color w:val="29483A"/>
          <w:sz w:val="30"/>
        </w:rPr>
        <w:t>Persuasive technique field guide</w:t>
      </w:r>
    </w:p>
    <w:tbl>
      <w:tblPr>
        <w:tblStyle w:val="TableGrid"/>
        <w:tblW w:type="dxa" w:w="10178"/>
        <w:jc w:val="left"/>
        <w:tblLayout w:type="fixed"/>
        <w:tblLook w:firstColumn="1" w:firstRow="1" w:lastColumn="0" w:lastRow="0" w:noHBand="0" w:noVBand="1" w:val="04A0"/>
        <w:tblInd w:w="120" w:type="dxa"/>
      </w:tblPr>
      <w:tblGrid>
        <w:gridCol w:w="2300"/>
        <w:gridCol w:w="4000"/>
        <w:gridCol w:w="3878"/>
      </w:tblGrid>
      <w:tr>
        <w:trPr>
          <w:cantSplit/>
          <w:tblHeader w:val="true"/>
        </w:trPr>
        <w:tc>
          <w:tcPr>
            <w:tcW w:type="dxa" w:w="2300"/>
            <w:vAlign w:val="center"/>
            <w:tcMar>
              <w:top w:w="90" w:type="dxa"/>
              <w:start w:w="120" w:type="dxa"/>
              <w:bottom w:w="90" w:type="dxa"/>
              <w:end w:w="120" w:type="dxa"/>
            </w:tcMar>
            <w:shd w:fill="29483A"/>
          </w:tcPr>
          <w:p>
            <w:pPr>
              <w:keepNext w:val="0"/>
              <w:spacing w:before="0" w:after="0" w:line="259" w:lineRule="auto"/>
              <w:jc w:val="center"/>
            </w:pPr>
            <w:r/>
            <w:r>
              <w:rPr>
                <w:rFonts w:ascii="Calibri" w:hAnsi="Calibri"/>
                <w:b/>
                <w:color w:val="FFFFFF"/>
                <w:sz w:val="18"/>
              </w:rPr>
              <w:t>Technique</w:t>
            </w:r>
          </w:p>
        </w:tc>
        <w:tc>
          <w:tcPr>
            <w:tcW w:type="dxa" w:w="4000"/>
            <w:vAlign w:val="center"/>
            <w:tcMar>
              <w:top w:w="90" w:type="dxa"/>
              <w:start w:w="120" w:type="dxa"/>
              <w:bottom w:w="90" w:type="dxa"/>
              <w:end w:w="120" w:type="dxa"/>
            </w:tcMar>
            <w:shd w:fill="29483A"/>
          </w:tcPr>
          <w:p>
            <w:pPr>
              <w:keepNext w:val="0"/>
              <w:spacing w:before="0" w:after="0" w:line="259" w:lineRule="auto"/>
              <w:jc w:val="center"/>
            </w:pPr>
            <w:r/>
            <w:r>
              <w:rPr>
                <w:rFonts w:ascii="Calibri" w:hAnsi="Calibri"/>
                <w:b/>
                <w:color w:val="FFFFFF"/>
                <w:sz w:val="18"/>
              </w:rPr>
              <w:t>Possible job</w:t>
            </w:r>
          </w:p>
        </w:tc>
        <w:tc>
          <w:tcPr>
            <w:tcW w:type="dxa" w:w="3878"/>
            <w:vAlign w:val="center"/>
            <w:tcMar>
              <w:top w:w="90" w:type="dxa"/>
              <w:start w:w="120" w:type="dxa"/>
              <w:bottom w:w="90" w:type="dxa"/>
              <w:end w:w="120" w:type="dxa"/>
            </w:tcMar>
            <w:shd w:fill="29483A"/>
          </w:tcPr>
          <w:p>
            <w:pPr>
              <w:keepNext w:val="0"/>
              <w:spacing w:before="0" w:after="0" w:line="259" w:lineRule="auto"/>
              <w:jc w:val="center"/>
            </w:pPr>
            <w:r/>
            <w:r>
              <w:rPr>
                <w:rFonts w:ascii="Calibri" w:hAnsi="Calibri"/>
                <w:b/>
                <w:color w:val="FFFFFF"/>
                <w:sz w:val="18"/>
              </w:rPr>
              <w:t>Accuracy check</w:t>
            </w:r>
          </w:p>
        </w:tc>
      </w:tr>
      <w:tr>
        <w:tc>
          <w:tcPr>
            <w:tcW w:type="dxa" w:w="2300"/>
          </w:tcPr>
          <w:p>
            <w:pPr>
              <w:keepNext w:val="0"/>
              <w:spacing w:before="0" w:after="0" w:line="259" w:lineRule="auto"/>
            </w:pPr>
            <w:r/>
            <w:r>
              <w:rPr>
                <w:rFonts w:ascii="Calibri" w:hAnsi="Calibri"/>
                <w:b w:val="0"/>
                <w:color w:val="26332C"/>
                <w:sz w:val="18"/>
              </w:rPr>
              <w:t>Inclusive language</w:t>
            </w:r>
          </w:p>
        </w:tc>
        <w:tc>
          <w:tcPr>
            <w:tcW w:type="dxa" w:w="4000"/>
          </w:tcPr>
          <w:p>
            <w:pPr>
              <w:keepNext w:val="0"/>
              <w:spacing w:before="0" w:after="0" w:line="259" w:lineRule="auto"/>
            </w:pPr>
            <w:r/>
            <w:r>
              <w:rPr>
                <w:rFonts w:ascii="Calibri" w:hAnsi="Calibri"/>
                <w:b w:val="0"/>
                <w:color w:val="26332C"/>
                <w:sz w:val="18"/>
              </w:rPr>
              <w:t>Frames shared responsibility: we, our, together</w:t>
            </w:r>
          </w:p>
        </w:tc>
        <w:tc>
          <w:tcPr>
            <w:tcW w:type="dxa" w:w="3878"/>
          </w:tcPr>
          <w:p>
            <w:pPr>
              <w:keepNext w:val="0"/>
              <w:spacing w:before="0" w:after="0" w:line="259" w:lineRule="auto"/>
            </w:pPr>
            <w:r/>
            <w:r>
              <w:rPr>
                <w:rFonts w:ascii="Calibri" w:hAnsi="Calibri"/>
                <w:b w:val="0"/>
                <w:color w:val="26332C"/>
                <w:sz w:val="18"/>
              </w:rPr>
              <w:t>Does 'we' genuinely include the audience?</w:t>
            </w:r>
          </w:p>
        </w:tc>
      </w:tr>
      <w:tr>
        <w:tc>
          <w:tcPr>
            <w:tcW w:type="dxa" w:w="2300"/>
            <w:shd w:fill="F7FAFB"/>
          </w:tcPr>
          <w:p>
            <w:pPr>
              <w:keepNext w:val="0"/>
              <w:spacing w:before="0" w:after="0" w:line="259" w:lineRule="auto"/>
            </w:pPr>
            <w:r/>
            <w:r>
              <w:rPr>
                <w:rFonts w:ascii="Calibri" w:hAnsi="Calibri"/>
                <w:b w:val="0"/>
                <w:color w:val="26332C"/>
                <w:sz w:val="18"/>
              </w:rPr>
              <w:t>Modality</w:t>
            </w:r>
          </w:p>
        </w:tc>
        <w:tc>
          <w:tcPr>
            <w:tcW w:type="dxa" w:w="4000"/>
            <w:shd w:fill="F7FAFB"/>
          </w:tcPr>
          <w:p>
            <w:pPr>
              <w:keepNext w:val="0"/>
              <w:spacing w:before="0" w:after="0" w:line="259" w:lineRule="auto"/>
            </w:pPr>
            <w:r/>
            <w:r>
              <w:rPr>
                <w:rFonts w:ascii="Calibri" w:hAnsi="Calibri"/>
                <w:b w:val="0"/>
                <w:color w:val="26332C"/>
                <w:sz w:val="18"/>
              </w:rPr>
              <w:t>Calibrates force: could, should, must</w:t>
            </w:r>
          </w:p>
        </w:tc>
        <w:tc>
          <w:tcPr>
            <w:tcW w:type="dxa" w:w="3878"/>
            <w:shd w:fill="F7FAFB"/>
          </w:tcPr>
          <w:p>
            <w:pPr>
              <w:keepNext w:val="0"/>
              <w:spacing w:before="0" w:after="0" w:line="259" w:lineRule="auto"/>
            </w:pPr>
            <w:r/>
            <w:r>
              <w:rPr>
                <w:rFonts w:ascii="Calibri" w:hAnsi="Calibri"/>
                <w:b w:val="0"/>
                <w:color w:val="26332C"/>
                <w:sz w:val="18"/>
              </w:rPr>
              <w:t>Is the strength justified by the evidence?</w:t>
            </w:r>
          </w:p>
        </w:tc>
      </w:tr>
      <w:tr>
        <w:tc>
          <w:tcPr>
            <w:tcW w:type="dxa" w:w="2300"/>
          </w:tcPr>
          <w:p>
            <w:pPr>
              <w:keepNext w:val="0"/>
              <w:spacing w:before="0" w:after="0" w:line="259" w:lineRule="auto"/>
            </w:pPr>
            <w:r/>
            <w:r>
              <w:rPr>
                <w:rFonts w:ascii="Calibri" w:hAnsi="Calibri"/>
                <w:b w:val="0"/>
                <w:color w:val="26332C"/>
                <w:sz w:val="18"/>
              </w:rPr>
              <w:t>Rhetorical question</w:t>
            </w:r>
          </w:p>
        </w:tc>
        <w:tc>
          <w:tcPr>
            <w:tcW w:type="dxa" w:w="4000"/>
          </w:tcPr>
          <w:p>
            <w:pPr>
              <w:keepNext w:val="0"/>
              <w:spacing w:before="0" w:after="0" w:line="259" w:lineRule="auto"/>
            </w:pPr>
            <w:r/>
            <w:r>
              <w:rPr>
                <w:rFonts w:ascii="Calibri" w:hAnsi="Calibri"/>
                <w:b w:val="0"/>
                <w:color w:val="26332C"/>
                <w:sz w:val="18"/>
              </w:rPr>
              <w:t>Directs attention or opens a possibility</w:t>
            </w:r>
          </w:p>
        </w:tc>
        <w:tc>
          <w:tcPr>
            <w:tcW w:type="dxa" w:w="3878"/>
          </w:tcPr>
          <w:p>
            <w:pPr>
              <w:keepNext w:val="0"/>
              <w:spacing w:before="0" w:after="0" w:line="259" w:lineRule="auto"/>
            </w:pPr>
            <w:r/>
            <w:r>
              <w:rPr>
                <w:rFonts w:ascii="Calibri" w:hAnsi="Calibri"/>
                <w:b w:val="0"/>
                <w:color w:val="26332C"/>
                <w:sz w:val="18"/>
              </w:rPr>
              <w:t>Does it invite thought or shame the audience?</w:t>
            </w:r>
          </w:p>
        </w:tc>
      </w:tr>
      <w:tr>
        <w:tc>
          <w:tcPr>
            <w:tcW w:type="dxa" w:w="2300"/>
            <w:shd w:fill="F7FAFB"/>
          </w:tcPr>
          <w:p>
            <w:pPr>
              <w:keepNext w:val="0"/>
              <w:spacing w:before="0" w:after="0" w:line="259" w:lineRule="auto"/>
            </w:pPr>
            <w:r/>
            <w:r>
              <w:rPr>
                <w:rFonts w:ascii="Calibri" w:hAnsi="Calibri"/>
                <w:b w:val="0"/>
                <w:color w:val="26332C"/>
                <w:sz w:val="18"/>
              </w:rPr>
              <w:t>Emotive vocabulary</w:t>
            </w:r>
          </w:p>
        </w:tc>
        <w:tc>
          <w:tcPr>
            <w:tcW w:type="dxa" w:w="4000"/>
            <w:shd w:fill="F7FAFB"/>
          </w:tcPr>
          <w:p>
            <w:pPr>
              <w:keepNext w:val="0"/>
              <w:spacing w:before="0" w:after="0" w:line="259" w:lineRule="auto"/>
            </w:pPr>
            <w:r/>
            <w:r>
              <w:rPr>
                <w:rFonts w:ascii="Calibri" w:hAnsi="Calibri"/>
                <w:b w:val="0"/>
                <w:color w:val="26332C"/>
                <w:sz w:val="18"/>
              </w:rPr>
              <w:t>Signals importance and feeling</w:t>
            </w:r>
          </w:p>
        </w:tc>
        <w:tc>
          <w:tcPr>
            <w:tcW w:type="dxa" w:w="3878"/>
            <w:shd w:fill="F7FAFB"/>
          </w:tcPr>
          <w:p>
            <w:pPr>
              <w:keepNext w:val="0"/>
              <w:spacing w:before="0" w:after="0" w:line="259" w:lineRule="auto"/>
            </w:pPr>
            <w:r/>
            <w:r>
              <w:rPr>
                <w:rFonts w:ascii="Calibri" w:hAnsi="Calibri"/>
                <w:b w:val="0"/>
                <w:color w:val="26332C"/>
                <w:sz w:val="18"/>
              </w:rPr>
              <w:t>Does it describe the issue or attack a person?</w:t>
            </w:r>
          </w:p>
        </w:tc>
      </w:tr>
      <w:tr>
        <w:tc>
          <w:tcPr>
            <w:tcW w:type="dxa" w:w="2300"/>
          </w:tcPr>
          <w:p>
            <w:pPr>
              <w:keepNext w:val="0"/>
              <w:spacing w:before="0" w:after="0" w:line="259" w:lineRule="auto"/>
            </w:pPr>
            <w:r/>
            <w:r>
              <w:rPr>
                <w:rFonts w:ascii="Calibri" w:hAnsi="Calibri"/>
                <w:b w:val="0"/>
                <w:color w:val="26332C"/>
                <w:sz w:val="18"/>
              </w:rPr>
              <w:t>Concession</w:t>
            </w:r>
          </w:p>
        </w:tc>
        <w:tc>
          <w:tcPr>
            <w:tcW w:type="dxa" w:w="4000"/>
          </w:tcPr>
          <w:p>
            <w:pPr>
              <w:keepNext w:val="0"/>
              <w:spacing w:before="0" w:after="0" w:line="259" w:lineRule="auto"/>
            </w:pPr>
            <w:r/>
            <w:r>
              <w:rPr>
                <w:rFonts w:ascii="Calibri" w:hAnsi="Calibri"/>
                <w:b w:val="0"/>
                <w:color w:val="26332C"/>
                <w:sz w:val="18"/>
              </w:rPr>
              <w:t>Acknowledges a legitimate concern</w:t>
            </w:r>
          </w:p>
        </w:tc>
        <w:tc>
          <w:tcPr>
            <w:tcW w:type="dxa" w:w="3878"/>
          </w:tcPr>
          <w:p>
            <w:pPr>
              <w:keepNext w:val="0"/>
              <w:spacing w:before="0" w:after="0" w:line="259" w:lineRule="auto"/>
            </w:pPr>
            <w:r/>
            <w:r>
              <w:rPr>
                <w:rFonts w:ascii="Calibri" w:hAnsi="Calibri"/>
                <w:b w:val="0"/>
                <w:color w:val="26332C"/>
                <w:sz w:val="18"/>
              </w:rPr>
              <w:t>Is it the audience's real concern?</w:t>
            </w:r>
          </w:p>
        </w:tc>
      </w:tr>
      <w:tr>
        <w:tc>
          <w:tcPr>
            <w:tcW w:type="dxa" w:w="2300"/>
            <w:shd w:fill="F7FAFB"/>
          </w:tcPr>
          <w:p>
            <w:pPr>
              <w:keepNext w:val="0"/>
              <w:spacing w:before="0" w:after="0" w:line="259" w:lineRule="auto"/>
            </w:pPr>
            <w:r/>
            <w:r>
              <w:rPr>
                <w:rFonts w:ascii="Calibri" w:hAnsi="Calibri"/>
                <w:b w:val="0"/>
                <w:color w:val="26332C"/>
                <w:sz w:val="18"/>
              </w:rPr>
              <w:t>Call to action</w:t>
            </w:r>
          </w:p>
        </w:tc>
        <w:tc>
          <w:tcPr>
            <w:tcW w:type="dxa" w:w="4000"/>
            <w:shd w:fill="F7FAFB"/>
          </w:tcPr>
          <w:p>
            <w:pPr>
              <w:keepNext w:val="0"/>
              <w:spacing w:before="0" w:after="0" w:line="259" w:lineRule="auto"/>
            </w:pPr>
            <w:r/>
            <w:r>
              <w:rPr>
                <w:rFonts w:ascii="Calibri" w:hAnsi="Calibri"/>
                <w:b w:val="0"/>
                <w:color w:val="26332C"/>
                <w:sz w:val="18"/>
              </w:rPr>
              <w:t>Tells the audience what to do next</w:t>
            </w:r>
          </w:p>
        </w:tc>
        <w:tc>
          <w:tcPr>
            <w:tcW w:type="dxa" w:w="3878"/>
            <w:shd w:fill="F7FAFB"/>
          </w:tcPr>
          <w:p>
            <w:pPr>
              <w:keepNext w:val="0"/>
              <w:spacing w:before="0" w:after="0" w:line="259" w:lineRule="auto"/>
            </w:pPr>
            <w:r/>
            <w:r>
              <w:rPr>
                <w:rFonts w:ascii="Calibri" w:hAnsi="Calibri"/>
                <w:b w:val="0"/>
                <w:color w:val="26332C"/>
                <w:sz w:val="18"/>
              </w:rPr>
              <w:t>Is the action specific, safe and workable?</w:t>
            </w:r>
          </w:p>
        </w:tc>
      </w:tr>
    </w:tbl>
    <w:p>
      <w:pPr>
        <w:keepNext w:val="0"/>
        <w:spacing w:before="0" w:after="40" w:line="276" w:lineRule="auto"/>
      </w:pPr>
    </w:p>
    <w:p>
      <w:pPr>
        <w:pStyle w:val="Heading1"/>
        <w:keepNext/>
        <w:spacing w:before="180" w:after="100" w:line="240" w:lineRule="auto"/>
      </w:pPr>
      <w:r>
        <w:rPr>
          <w:rFonts w:ascii="Calibri" w:hAnsi="Calibri"/>
          <w:b/>
          <w:color w:val="29483A"/>
          <w:sz w:val="30"/>
        </w:rPr>
        <w:t>Source trail</w:t>
      </w:r>
    </w:p>
    <w:p>
      <w:pPr>
        <w:keepNext w:val="0"/>
        <w:spacing w:before="0" w:after="80" w:line="276" w:lineRule="auto"/>
      </w:pPr>
      <w:r>
        <w:rPr>
          <w:rFonts w:ascii="Calibri" w:hAnsi="Calibri"/>
          <w:b w:val="0"/>
          <w:i/>
          <w:color w:val="657069"/>
          <w:sz w:val="21"/>
        </w:rPr>
        <w:t>Facts checked 12 August 2026. Classroom feature and dialogue are original and fictional.</w:t>
      </w:r>
    </w:p>
    <w:p>
      <w:pPr>
        <w:pStyle w:val="ListBullet"/>
        <w:keepNext w:val="0"/>
        <w:spacing w:before="0" w:after="80" w:line="276" w:lineRule="auto"/>
      </w:pPr>
      <w:r>
        <w:rPr>
          <w:rFonts w:ascii="Calibri" w:hAnsi="Calibri"/>
          <w:color w:val="26332C"/>
          <w:sz w:val="21"/>
        </w:rPr>
        <w:t>Queensland Government - How to reduce consumption of avoidable and single-use plastics: business guide</w:t>
      </w:r>
    </w:p>
    <w:p>
      <w:pPr>
        <w:pStyle w:val="ListBullet"/>
        <w:keepNext w:val="0"/>
        <w:spacing w:before="0" w:after="80" w:line="276" w:lineRule="auto"/>
      </w:pPr>
      <w:r>
        <w:rPr>
          <w:rFonts w:ascii="Calibri" w:hAnsi="Calibri"/>
          <w:color w:val="26332C"/>
          <w:sz w:val="21"/>
        </w:rPr>
        <w:t>Queensland Government - Action on single-use plastic items</w:t>
      </w:r>
    </w:p>
    <w:p>
      <w:pPr>
        <w:pStyle w:val="ListBullet"/>
        <w:keepNext w:val="0"/>
        <w:spacing w:before="0" w:after="80" w:line="276" w:lineRule="auto"/>
      </w:pPr>
      <w:r>
        <w:rPr>
          <w:rFonts w:ascii="Calibri" w:hAnsi="Calibri"/>
          <w:color w:val="26332C"/>
          <w:sz w:val="21"/>
        </w:rPr>
        <w:t>Food Standards Australia New Zealand - Customer cups and containers</w:t>
      </w:r>
    </w:p>
    <w:p>
      <w:pPr>
        <w:pStyle w:val="ListBullet"/>
        <w:keepNext w:val="0"/>
        <w:spacing w:before="0" w:after="80" w:line="276" w:lineRule="auto"/>
      </w:pPr>
      <w:r>
        <w:rPr>
          <w:rFonts w:ascii="Calibri" w:hAnsi="Calibri"/>
          <w:color w:val="26332C"/>
          <w:sz w:val="21"/>
        </w:rPr>
        <w:t>Food Standards Australia New Zealand - Food packaging</w:t>
      </w:r>
    </w:p>
    <w:p>
      <w:pPr>
        <w:pStyle w:val="ListBullet"/>
        <w:keepNext w:val="0"/>
        <w:spacing w:before="0" w:after="80" w:line="276" w:lineRule="auto"/>
      </w:pPr>
      <w:r>
        <w:rPr>
          <w:rFonts w:ascii="Calibri" w:hAnsi="Calibri"/>
          <w:color w:val="26332C"/>
          <w:sz w:val="21"/>
        </w:rPr>
        <w:t>Brisbane City Council - What goes in my bins? (local disposal example only)</w:t>
      </w:r>
    </w:p>
    <w:sectPr w:rsidR="00FC693F" w:rsidRPr="0006063C" w:rsidSect="00034616">
      <w:headerReference w:type="default" r:id="rId9"/>
      <w:footerReference w:type="default" r:id="rId10"/>
      <w:pgSz w:w="11906" w:h="16838"/>
      <w:pgMar w:top="864" w:right="864" w:bottom="864"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Calibri" w:hAnsi="Calibri"/>
        <w:color w:val="657069"/>
        <w:sz w:val="15"/>
      </w:rPr>
      <w:t>Student Reading Pack  |  One Cup, Two Loyalties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Calibri" w:hAnsi="Calibri"/>
        <w:b/>
        <w:color w:val="657069"/>
        <w:sz w:val="15"/>
      </w:rPr>
      <w:t>ENGLISH UNIT 3  |  LESSON 18 ALTERNATIVE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76" w:lineRule="auto"/>
    </w:pPr>
    <w:rPr>
      <w:rFonts w:ascii="Calibri" w:hAnsi="Calibri"/>
      <w:color w:val="2633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40" w:lineRule="auto"/>
      <w:outlineLvl w:val="0"/>
    </w:pPr>
    <w:rPr>
      <w:rFonts w:asciiTheme="majorHAnsi" w:eastAsiaTheme="majorEastAsia" w:hAnsiTheme="majorHAnsi" w:cstheme="majorBidi" w:ascii="Calibri" w:hAnsi="Calibri"/>
      <w:b/>
      <w:bCs/>
      <w:color w:val="29483A"/>
      <w:sz w:val="30"/>
      <w:szCs w:val="28"/>
    </w:rPr>
  </w:style>
  <w:style w:type="paragraph" w:styleId="Heading2">
    <w:name w:val="heading 2"/>
    <w:basedOn w:val="Normal"/>
    <w:next w:val="Normal"/>
    <w:link w:val="Heading2Char"/>
    <w:uiPriority w:val="9"/>
    <w:unhideWhenUsed/>
    <w:qFormat/>
    <w:rsid w:val="00FC693F"/>
    <w:pPr>
      <w:keepNext/>
      <w:keepLines/>
      <w:spacing w:before="140" w:after="80" w:line="240" w:lineRule="auto"/>
      <w:outlineLvl w:val="1"/>
    </w:pPr>
    <w:rPr>
      <w:rFonts w:asciiTheme="majorHAnsi" w:eastAsiaTheme="majorEastAsia" w:hAnsiTheme="majorHAnsi" w:cstheme="majorBidi" w:ascii="Calibri" w:hAnsi="Calibri"/>
      <w:b/>
      <w:bCs/>
      <w:color w:val="4E7D62"/>
      <w:sz w:val="25"/>
      <w:szCs w:val="26"/>
    </w:rPr>
  </w:style>
  <w:style w:type="paragraph" w:styleId="Heading3">
    <w:name w:val="heading 3"/>
    <w:basedOn w:val="Normal"/>
    <w:next w:val="Normal"/>
    <w:link w:val="Heading3Char"/>
    <w:uiPriority w:val="9"/>
    <w:unhideWhenUsed/>
    <w:qFormat/>
    <w:rsid w:val="00FC693F"/>
    <w:pPr>
      <w:keepNext/>
      <w:keepLines/>
      <w:spacing w:before="100" w:after="60" w:line="240" w:lineRule="auto"/>
      <w:outlineLvl w:val="2"/>
    </w:pPr>
    <w:rPr>
      <w:rFonts w:asciiTheme="majorHAnsi" w:eastAsiaTheme="majorEastAsia" w:hAnsiTheme="majorHAnsi" w:cstheme="majorBidi" w:ascii="Calibri" w:hAnsi="Calibri"/>
      <w:b/>
      <w:bCs/>
      <w:color w:val="2948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