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 w:line="240" w:lineRule="auto"/>
      </w:pPr>
      <w:r>
        <w:rPr>
          <w:rFonts w:ascii="Calibri" w:hAnsi="Calibri"/>
          <w:b/>
          <w:color w:val="497C79"/>
          <w:sz w:val="18"/>
        </w:rPr>
        <w:t>PERSUASIVE WRITING ORGANISER</w:t>
      </w:r>
    </w:p>
    <w:p>
      <w:pPr>
        <w:keepNext/>
        <w:spacing w:before="0" w:after="60" w:line="240" w:lineRule="auto"/>
      </w:pPr>
      <w:r>
        <w:rPr>
          <w:rFonts w:ascii="Calibri" w:hAnsi="Calibri"/>
          <w:b/>
          <w:color w:val="26364C"/>
          <w:sz w:val="46"/>
        </w:rPr>
        <w:t>The ACK Bridge</w:t>
      </w:r>
    </w:p>
    <w:p>
      <w:pPr>
        <w:keepNext w:val="0"/>
        <w:spacing w:before="0" w:after="160" w:line="252" w:lineRule="auto"/>
        <w:pBdr>
          <w:bottom w:val="single" w:sz="16" w:space="8" w:color="E5B85B"/>
        </w:pBdr>
      </w:pPr>
      <w:r>
        <w:rPr>
          <w:rFonts w:ascii="Calibri" w:hAnsi="Calibri"/>
          <w:i/>
          <w:color w:val="65717E"/>
          <w:sz w:val="23"/>
        </w:rPr>
        <w:t>Hear the real worry. Answer it. Keep your claim.</w:t>
      </w:r>
    </w:p>
    <w:p>
      <w:pPr>
        <w:keepNext w:val="0"/>
        <w:spacing w:before="0" w:after="120" w:line="240" w:lineRule="auto"/>
        <w:jc w:val="right"/>
      </w:pPr>
      <w:r>
        <w:rPr>
          <w:rFonts w:ascii="Calibri" w:hAnsi="Calibri"/>
          <w:b/>
          <w:color w:val="65717E"/>
          <w:sz w:val="17"/>
        </w:rPr>
        <w:t>PLAN  |  WRITE  |  REVISE</w:t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1. Name the decision and my claim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400"/>
        <w:gridCol w:w="5778"/>
      </w:tblGrid>
      <w:tr>
        <w:trPr>
          <w:cantSplit/>
          <w:tblHeader w:val="true"/>
        </w:trPr>
        <w:tc>
          <w:tcPr>
            <w:tcW w:type="dxa" w:w="44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57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claim</w:t>
            </w:r>
          </w:p>
        </w:tc>
      </w:tr>
      <w:tr>
        <w:tc>
          <w:tcPr>
            <w:tcW w:type="dxa" w:w="44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What should happen?</w:t>
            </w:r>
          </w:p>
        </w:tc>
        <w:tc>
          <w:tcPr>
            <w:tcW w:type="dxa" w:w="57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The school should / should not...</w:t>
            </w:r>
          </w:p>
        </w:tc>
      </w:tr>
      <w:tr>
        <w:tc>
          <w:tcPr>
            <w:tcW w:type="dxa" w:w="44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Audience:</w:t>
            </w:r>
          </w:p>
        </w:tc>
        <w:tc>
          <w:tcPr>
            <w:tcW w:type="dxa" w:w="57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Principal / school community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2. Find a fair concern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700"/>
        <w:gridCol w:w="1800"/>
        <w:gridCol w:w="3678"/>
      </w:tblGrid>
      <w:tr>
        <w:trPr>
          <w:cantSplit/>
          <w:tblHeader w:val="true"/>
        </w:trPr>
        <w:tc>
          <w:tcPr>
            <w:tcW w:type="dxa" w:w="47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Possible concern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Fair concern?</w:t>
            </w:r>
          </w:p>
        </w:tc>
        <w:tc>
          <w:tcPr>
            <w:tcW w:type="dxa" w:w="36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might it matter?</w:t>
            </w:r>
          </w:p>
        </w:tc>
      </w:tr>
      <w:tr>
        <w:tc>
          <w:tcPr>
            <w:tcW w:type="dxa" w:w="47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  <w:t>Equipment could be lost or damaged.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  <w:tc>
          <w:tcPr>
            <w:tcW w:type="dxa" w:w="36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</w:tr>
      <w:tr>
        <w:tc>
          <w:tcPr>
            <w:tcW w:type="dxa" w:w="47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  <w:t>People who disagree do not care about fun.</w:t>
            </w:r>
          </w:p>
        </w:tc>
        <w:tc>
          <w:tcPr>
            <w:tcW w:type="dxa" w:w="18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  <w:tc>
          <w:tcPr>
            <w:tcW w:type="dxa" w:w="36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</w:tr>
      <w:tr>
        <w:tc>
          <w:tcPr>
            <w:tcW w:type="dxa" w:w="47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  <w:t>The queue could take too much lunch time.</w:t>
            </w:r>
          </w:p>
        </w:tc>
        <w:tc>
          <w:tcPr>
            <w:tcW w:type="dxa" w:w="1800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  <w:tc>
          <w:tcPr>
            <w:tcW w:type="dxa" w:w="3678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</w:tr>
      <w:tr>
        <w:tc>
          <w:tcPr>
            <w:tcW w:type="dxa" w:w="47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  <w:t>Quiet activities could be left out.</w:t>
            </w:r>
          </w:p>
        </w:tc>
        <w:tc>
          <w:tcPr>
            <w:tcW w:type="dxa" w:w="1800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  <w:tc>
          <w:tcPr>
            <w:tcW w:type="dxa" w:w="3678"/>
            <w:shd w:fill="F7FAFB"/>
          </w:tcPr>
          <w:p>
            <w:pPr>
              <w:keepNext w:val="0"/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color w:val="26313D"/>
                <w:sz w:val="17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My strongest fair concern: </w:t>
      </w:r>
      <w:r>
        <w:rPr>
          <w:rFonts w:ascii="Calibri" w:hAnsi="Calibri"/>
          <w:color w:val="26313D"/>
          <w:sz w:val="21"/>
        </w:rPr>
        <w:t>________________________________________________________________________________</w:t>
      </w:r>
    </w:p>
    <w:p>
      <w:pPr>
        <w:keepNext w:val="0"/>
        <w:spacing w:before="90" w:after="90" w:line="276" w:lineRule="auto"/>
        <w:shd w:fill="FFF2D8"/>
        <w:pBdr>
          <w:left w:val="single" w:sz="22" w:space="8" w:color="B96559"/>
        </w:pBdr>
      </w:pPr>
      <w:r>
        <w:rPr>
          <w:rFonts w:ascii="Calibri" w:hAnsi="Calibri"/>
          <w:b/>
          <w:color w:val="B96559"/>
          <w:sz w:val="21"/>
        </w:rPr>
        <w:t xml:space="preserve">Why it matters: </w:t>
      </w:r>
      <w:r>
        <w:rPr>
          <w:rFonts w:ascii="Calibri" w:hAnsi="Calibri"/>
          <w:color w:val="26313D"/>
          <w:sz w:val="21"/>
        </w:rPr>
        <w:t>________________________________________________________________________________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3. Build the ACK bridge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5300"/>
        <w:gridCol w:w="3028"/>
      </w:tblGrid>
      <w:tr>
        <w:trPr>
          <w:cantSplit/>
          <w:tblHeader w:val="true"/>
        </w:trPr>
        <w:tc>
          <w:tcPr>
            <w:tcW w:type="dxa" w:w="1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Move</w:t>
            </w:r>
          </w:p>
        </w:tc>
        <w:tc>
          <w:tcPr>
            <w:tcW w:type="dxa" w:w="5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words</w:t>
            </w:r>
          </w:p>
        </w:tc>
        <w:tc>
          <w:tcPr>
            <w:tcW w:type="dxa" w:w="30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Precision check</w:t>
            </w:r>
          </w:p>
        </w:tc>
      </w:tr>
      <w:tr>
        <w:tc>
          <w:tcPr>
            <w:tcW w:type="dxa" w:w="185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A - Acknowledge</w:t>
            </w:r>
          </w:p>
        </w:tc>
        <w:tc>
          <w:tcPr>
            <w:tcW w:type="dxa" w:w="5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Some people may worry...</w:t>
            </w:r>
          </w:p>
        </w:tc>
        <w:tc>
          <w:tcPr>
            <w:tcW w:type="dxa" w:w="302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Would they agree this is their concern?</w:t>
            </w:r>
          </w:p>
        </w:tc>
      </w:tr>
      <w:tr>
        <w:tc>
          <w:tcPr>
            <w:tcW w:type="dxa" w:w="185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C - Connect</w:t>
            </w:r>
          </w:p>
        </w:tc>
        <w:tc>
          <w:tcPr>
            <w:tcW w:type="dxa" w:w="5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However... / A useful safeguard is...</w:t>
            </w:r>
          </w:p>
        </w:tc>
        <w:tc>
          <w:tcPr>
            <w:tcW w:type="dxa" w:w="302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Does it answer that exact worry?</w:t>
            </w:r>
          </w:p>
        </w:tc>
      </w:tr>
      <w:tr>
        <w:tc>
          <w:tcPr>
            <w:tcW w:type="dxa" w:w="185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K - Keep</w:t>
            </w:r>
          </w:p>
        </w:tc>
        <w:tc>
          <w:tcPr>
            <w:tcW w:type="dxa" w:w="53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Therefore, the school should...</w:t>
            </w:r>
          </w:p>
        </w:tc>
        <w:tc>
          <w:tcPr>
            <w:tcW w:type="dxa" w:w="302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Is the next action measured and workable?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4. Evidence / reason / safeguard bank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00"/>
        <w:gridCol w:w="3500"/>
        <w:gridCol w:w="2878"/>
      </w:tblGrid>
      <w:tr>
        <w:trPr>
          <w:cantSplit/>
          <w:tblHeader w:val="true"/>
        </w:trPr>
        <w:tc>
          <w:tcPr>
            <w:tcW w:type="dxa" w:w="3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Text detail or practical action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Which concern does it answer?</w:t>
            </w:r>
          </w:p>
        </w:tc>
        <w:tc>
          <w:tcPr>
            <w:tcW w:type="dxa" w:w="287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What could be measured?</w:t>
            </w:r>
          </w:p>
        </w:tc>
      </w:tr>
      <w:tr>
        <w:tc>
          <w:tcPr>
            <w:tcW w:type="dxa" w:w="38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</w:tr>
      <w:tr>
        <w:tc>
          <w:tcPr>
            <w:tcW w:type="dxa" w:w="38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</w:tr>
      <w:tr>
        <w:tc>
          <w:tcPr>
            <w:tcW w:type="dxa" w:w="38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</w:tr>
      <w:tr>
        <w:tc>
          <w:tcPr>
            <w:tcW w:type="dxa" w:w="38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3500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  <w:tc>
          <w:tcPr>
            <w:tcW w:type="dxa" w:w="2878"/>
          </w:tcPr>
          <w:p>
            <w:pPr>
              <w:keepNext w:val="0"/>
              <w:spacing w:before="0" w:after="60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</w:r>
          </w:p>
        </w:tc>
      </w:tr>
    </w:tbl>
    <w:p>
      <w:pPr>
        <w:keepNext w:val="0"/>
        <w:spacing w:before="0" w:after="40" w:line="276" w:lineRule="auto"/>
      </w:pPr>
    </w:p>
    <w:p>
      <w:pPr>
        <w:keepNext w:val="0"/>
        <w:spacing w:before="90" w:after="90" w:line="276" w:lineRule="auto"/>
        <w:shd w:fill="FFF2D8"/>
        <w:pBdr>
          <w:left w:val="single" w:sz="22" w:space="8" w:color="B96559"/>
        </w:pBdr>
      </w:pPr>
      <w:r>
        <w:rPr>
          <w:rFonts w:ascii="Calibri" w:hAnsi="Calibri"/>
          <w:b/>
          <w:color w:val="B96559"/>
          <w:sz w:val="21"/>
        </w:rPr>
        <w:t xml:space="preserve">Match test: </w:t>
      </w:r>
      <w:r>
        <w:rPr>
          <w:rFonts w:ascii="Calibri" w:hAnsi="Calibri"/>
          <w:color w:val="26313D"/>
          <w:sz w:val="21"/>
        </w:rPr>
        <w:t>Put a line from your counterargument to the exact sentence that answers it. If the line does not make sense, revise the rebuttal.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5. Draft the principal letter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Dear Principal, I believe ________________________________________________.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Some people may worry that ______________________________________________.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This is a fair concern because ____________________________________________.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However, ________________________________________________________________.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A practical safeguard would be 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Therefore, the school should ______________________________________________.</w:t>
      </w:r>
    </w:p>
    <w:p>
      <w:pPr>
        <w:keepNext w:val="0"/>
        <w:spacing w:before="90" w:after="90" w:line="276" w:lineRule="auto"/>
        <w:shd w:fill="EAF4F0"/>
        <w:pBdr>
          <w:left w:val="single" w:sz="22" w:space="8" w:color="497C79"/>
        </w:pBdr>
      </w:pPr>
      <w:r>
        <w:rPr>
          <w:rFonts w:ascii="Calibri" w:hAnsi="Calibri"/>
          <w:b/>
          <w:color w:val="497C79"/>
          <w:sz w:val="21"/>
        </w:rPr>
        <w:t xml:space="preserve">Write: </w:t>
      </w:r>
      <w:r>
        <w:rPr>
          <w:rFonts w:ascii="Calibri" w:hAnsi="Calibri"/>
          <w:color w:val="26313D"/>
          <w:sz w:val="21"/>
        </w:rPr>
        <w:t>The trial should record / review ___________________________________________.</w:t>
      </w:r>
    </w:p>
    <w:p>
      <w:r>
        <w:br w:type="page"/>
      </w: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6. Stress-test and revise</w:t>
      </w:r>
    </w:p>
    <w:tbl>
      <w:tblPr>
        <w:tblStyle w:val="TableGrid"/>
        <w:tblW w:type="dxa" w:w="10178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089"/>
        <w:gridCol w:w="5089"/>
      </w:tblGrid>
      <w:tr>
        <w:trPr>
          <w:cantSplit/>
          <w:tblHeader w:val="true"/>
        </w:trPr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Partner's fair question</w:t>
            </w:r>
          </w:p>
        </w:tc>
        <w:tc>
          <w:tcPr>
            <w:tcW w:type="dxa" w:w="50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314B68"/>
          </w:tcPr>
          <w:p>
            <w:pPr>
              <w:keepNext w:val="0"/>
              <w:spacing w:before="0" w:after="0" w:line="259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My revised sentence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96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Does your concern sound real to the other side?</w:t>
            </w:r>
          </w:p>
        </w:tc>
        <w:tc>
          <w:tcPr>
            <w:tcW w:type="dxa" w:w="5089"/>
          </w:tcPr>
          <w:p>
            <w:pPr>
              <w:keepNext w:val="0"/>
              <w:spacing w:before="0" w:after="96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Original sentence:</w:t>
            </w:r>
          </w:p>
        </w:tc>
      </w:tr>
      <w:tr>
        <w:tc>
          <w:tcPr>
            <w:tcW w:type="dxa" w:w="5089"/>
          </w:tcPr>
          <w:p>
            <w:pPr>
              <w:keepNext w:val="0"/>
              <w:spacing w:before="0" w:after="96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What practical action would answer it more clearly?</w:t>
            </w:r>
          </w:p>
        </w:tc>
        <w:tc>
          <w:tcPr>
            <w:tcW w:type="dxa" w:w="5089"/>
          </w:tcPr>
          <w:p>
            <w:pPr>
              <w:keepNext w:val="0"/>
              <w:spacing w:before="0" w:after="960" w:line="259" w:lineRule="auto"/>
            </w:pPr>
            <w:r/>
            <w:r>
              <w:rPr>
                <w:rFonts w:ascii="Calibri" w:hAnsi="Calibri"/>
                <w:b w:val="0"/>
                <w:color w:val="65717E"/>
                <w:sz w:val="19"/>
              </w:rPr>
              <w:t>Revised sentence:</w:t>
            </w:r>
          </w:p>
        </w:tc>
      </w:tr>
    </w:tbl>
    <w:p>
      <w:pPr>
        <w:keepNext w:val="0"/>
        <w:spacing w:before="0" w:after="40" w:line="276" w:lineRule="auto"/>
      </w:pPr>
    </w:p>
    <w:p>
      <w:pPr>
        <w:pStyle w:val="Heading1"/>
        <w:keepNext/>
        <w:spacing w:before="180" w:after="100" w:line="240" w:lineRule="auto"/>
      </w:pPr>
      <w:r>
        <w:rPr>
          <w:rFonts w:ascii="Calibri" w:hAnsi="Calibri"/>
          <w:b/>
          <w:color w:val="314B68"/>
          <w:sz w:val="30"/>
        </w:rPr>
        <w:t>7. Final self-check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My claim is clear.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My counterargument is fair, not an insult.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I explain why the concern matters.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My rebuttal answers the exact concern.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I name a safeguard, measure or review.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I return to my claim.</w:t>
      </w:r>
    </w:p>
    <w:p>
      <w:pPr>
        <w:pStyle w:val="ListBullet"/>
        <w:keepNext w:val="0"/>
        <w:spacing w:before="0" w:after="80" w:line="276" w:lineRule="auto"/>
      </w:pPr>
      <w:r>
        <w:rPr>
          <w:rFonts w:ascii="Calibri" w:hAnsi="Calibri"/>
          <w:color w:val="26313D"/>
          <w:sz w:val="21"/>
        </w:rPr>
        <w:t>[ ] I made one revision visible.</w:t>
      </w:r>
    </w:p>
    <w:p>
      <w:pPr>
        <w:keepNext w:val="0"/>
        <w:spacing w:before="90" w:after="90" w:line="276" w:lineRule="auto"/>
        <w:shd w:fill="FFF2D8"/>
        <w:pBdr>
          <w:left w:val="single" w:sz="22" w:space="8" w:color="B96559"/>
        </w:pBdr>
      </w:pPr>
      <w:r>
        <w:rPr>
          <w:rFonts w:ascii="Calibri" w:hAnsi="Calibri"/>
          <w:b/>
          <w:color w:val="B96559"/>
          <w:sz w:val="21"/>
        </w:rPr>
        <w:t xml:space="preserve">Exit: </w:t>
      </w:r>
      <w:r>
        <w:rPr>
          <w:rFonts w:ascii="Calibri" w:hAnsi="Calibri"/>
          <w:color w:val="26313D"/>
          <w:sz w:val="21"/>
        </w:rPr>
        <w:t>A counterargument strengthens my writing when ______________________________________________ because ______________________________________________.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64" w:right="864" w:bottom="864" w:left="864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libri" w:hAnsi="Calibri"/>
        <w:color w:val="65717E"/>
        <w:sz w:val="15"/>
      </w:rPr>
      <w:t>ACK Organiser  |  The Borrow Box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right"/>
    </w:pPr>
    <w:r>
      <w:rPr>
        <w:rFonts w:ascii="Calibri" w:hAnsi="Calibri"/>
        <w:b/>
        <w:color w:val="65717E"/>
        <w:sz w:val="15"/>
      </w:rPr>
      <w:t>ENGLISH UNIT 3  |  LESSON 23 ALTERNATIVE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Calibri" w:hAnsi="Calibri"/>
      <w:color w:val="2631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314B6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497C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314B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40" w:hanging="271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