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line="250"/>
      </w:pPr>
      <w:r>
        <w:rPr>
          <w:rFonts w:ascii="Calibri" w:cs="Calibri" w:eastAsia="Calibri" w:hAnsi="Calibri"/>
          <w:b/>
          <w:bCs/>
          <w:color w:val="B96658"/>
          <w:sz w:val="17"/>
          <w:szCs w:val="17"/>
        </w:rPr>
        <w:t xml:space="preserve">ORIGINAL CLASSROOM FEATURE</w:t>
      </w:r>
    </w:p>
    <w:p>
      <w:pPr>
        <w:spacing w:after="55" w:line="250"/>
      </w:pPr>
      <w:r>
        <w:rPr>
          <w:rFonts w:ascii="Calibri" w:cs="Calibri" w:eastAsia="Calibri" w:hAnsi="Calibri"/>
          <w:b/>
          <w:bCs/>
          <w:color w:val="183E4A"/>
          <w:sz w:val="46"/>
          <w:szCs w:val="46"/>
        </w:rPr>
        <w:t xml:space="preserve">The Shade Shed</w:t>
      </w:r>
    </w:p>
    <w:p>
      <w:pPr>
        <w:spacing w:after="120" w:line="250"/>
      </w:pPr>
      <w:r>
        <w:rPr>
          <w:rFonts w:ascii="Calibri" w:cs="Calibri" w:eastAsia="Calibri" w:hAnsi="Calibri"/>
          <w:i/>
          <w:iCs/>
          <w:color w:val="66767B"/>
          <w:sz w:val="22"/>
          <w:szCs w:val="22"/>
        </w:rPr>
        <w:t xml:space="preserve">A model persuasive proposal: clear enough for an audience to decide.</w:t>
      </w:r>
    </w:p>
    <w:p>
      <w:pPr>
        <w:spacing w:after="170" w:line="250"/>
      </w:pPr>
      <w:r>
        <w:rPr>
          <w:rFonts w:ascii="Calibri" w:cs="Calibri" w:eastAsia="Calibri" w:hAnsi="Calibri"/>
          <w:b/>
          <w:bCs/>
          <w:color w:val="3F7D72"/>
          <w:sz w:val="17"/>
          <w:szCs w:val="17"/>
        </w:rPr>
        <w:t xml:space="preserve">READ | MARK H / T / R / O / C</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178"/>
            <w:tcBorders>
              <w:left w:val="single" w:color="B96658" w:sz="18"/>
            </w:tcBorders>
            <w:shd w:fill="FFF1D6" w:val="clear"/>
            <w:tcMar>
              <w:top w:type="dxa" w:w="120"/>
              <w:left w:type="dxa" w:w="150"/>
              <w:bottom w:type="dxa" w:w="120"/>
              <w:right w:type="dxa" w:w="150"/>
            </w:tcMar>
          </w:tcPr>
          <w:p>
            <w:pPr>
              <w:spacing w:after="20" w:line="250"/>
            </w:pPr>
            <w:r>
              <w:rPr>
                <w:rFonts w:ascii="Calibri" w:cs="Calibri" w:eastAsia="Calibri" w:hAnsi="Calibri"/>
                <w:b/>
                <w:bCs/>
                <w:color w:val="214E5D"/>
                <w:sz w:val="21"/>
                <w:szCs w:val="21"/>
              </w:rPr>
              <w:t xml:space="preserve">Fiction boundary: </w:t>
            </w:r>
          </w:p>
          <w:p>
            <w:pPr>
              <w:spacing w:after="0" w:line="250"/>
            </w:pPr>
            <w:r>
              <w:rPr>
                <w:rFonts w:ascii="Calibri" w:cs="Calibri" w:eastAsia="Calibri" w:hAnsi="Calibri"/>
                <w:color w:val="24333A"/>
                <w:sz w:val="20"/>
                <w:szCs w:val="20"/>
              </w:rPr>
              <w:t xml:space="preserve">Harbourview, Maia and every detail are invented for model deconstruction. Read for structure; do not use details as research evidence.</w:t>
            </w:r>
          </w:p>
        </w:tc>
      </w:tr>
    </w:tbl>
    <w:p>
      <w:pPr>
        <w:spacing w:after="100" w:line="250"/>
      </w:pPr>
      <w:r>
        <w:rPr>
          <w:rFonts w:ascii="Calibri" w:cs="Calibri" w:eastAsia="Calibri" w:hAnsi="Calibri"/>
          <w:b/>
          <w:bCs/>
          <w:color w:val="214E5D"/>
          <w:sz w:val="30"/>
          <w:szCs w:val="30"/>
        </w:rPr>
        <w:t xml:space="preserve">An unused corner can still be a choice</w:t>
      </w:r>
    </w:p>
    <w:p>
      <w:pPr>
        <w:spacing w:after="85" w:line="250"/>
      </w:pPr>
      <w:r>
        <w:rPr>
          <w:rFonts w:ascii="Calibri" w:cs="Calibri" w:eastAsia="Calibri" w:hAnsi="Calibri"/>
          <w:color w:val="24333A"/>
          <w:sz w:val="21"/>
          <w:szCs w:val="21"/>
        </w:rPr>
        <w:t xml:space="preserve">At lunch, the strip beside Harbourview's library is often empty. It is too bright for reading and too narrow for a game, so students pass it on their way to the oval. Maia sees something different: a small covered space with benches, a noticeboard and a crate of drawing materials that students can use during lunch.</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178"/>
            <w:tcBorders>
              <w:left w:val="single" w:color="E9BB65" w:sz="18"/>
            </w:tcBorders>
            <w:shd w:fill="FFF1D6" w:val="clear"/>
            <w:tcMar>
              <w:top w:type="dxa" w:w="120"/>
              <w:left w:type="dxa" w:w="150"/>
              <w:bottom w:type="dxa" w:w="120"/>
              <w:right w:type="dxa" w:w="150"/>
            </w:tcMar>
          </w:tcPr>
          <w:p>
            <w:pPr>
              <w:spacing w:after="20" w:line="250"/>
            </w:pPr>
            <w:r>
              <w:rPr>
                <w:rFonts w:ascii="Calibri" w:cs="Calibri" w:eastAsia="Calibri" w:hAnsi="Calibri"/>
                <w:b/>
                <w:bCs/>
                <w:color w:val="214E5D"/>
                <w:sz w:val="21"/>
                <w:szCs w:val="21"/>
              </w:rPr>
              <w:t xml:space="preserve">Maia's thesis: </w:t>
            </w:r>
          </w:p>
          <w:p>
            <w:pPr>
              <w:spacing w:after="0" w:line="250"/>
            </w:pPr>
            <w:r>
              <w:rPr>
                <w:rFonts w:ascii="Calibri" w:cs="Calibri" w:eastAsia="Calibri" w:hAnsi="Calibri"/>
                <w:color w:val="24333A"/>
                <w:sz w:val="20"/>
                <w:szCs w:val="20"/>
              </w:rPr>
              <w:t xml:space="preserve">Harbourview should trial a Shade Shed beside the library for one term, then review whether it gives students a calm and useful lunchtime choice.</w:t>
            </w:r>
          </w:p>
        </w:tc>
      </w:tr>
    </w:tbl>
    <w:p>
      <w:pPr>
        <w:spacing w:after="85" w:line="250"/>
      </w:pPr>
      <w:r>
        <w:rPr>
          <w:rFonts w:ascii="Calibri" w:cs="Calibri" w:eastAsia="Calibri" w:hAnsi="Calibri"/>
          <w:color w:val="24333A"/>
          <w:sz w:val="21"/>
          <w:szCs w:val="21"/>
        </w:rPr>
        <w:t xml:space="preserve">First, the shed would give students a place to read, draw, talk quietly or wait for a friend without having to join a noisy game. A school playground should offer more than one way to belong. The proposal does not ask students to stop playing sport; it adds one small option to an unused space.</w:t>
      </w:r>
    </w:p>
    <w:p>
      <w:pPr>
        <w:spacing w:after="100" w:line="250"/>
      </w:pPr>
      <w:r>
        <w:rPr>
          <w:rFonts w:ascii="Calibri" w:cs="Calibri" w:eastAsia="Calibri" w:hAnsi="Calibri"/>
          <w:b/>
          <w:bCs/>
          <w:color w:val="214E5D"/>
          <w:sz w:val="30"/>
          <w:szCs w:val="30"/>
        </w:rPr>
        <w:t xml:space="preserve">A careful proposal anticipates questions</w:t>
      </w:r>
    </w:p>
    <w:p>
      <w:pPr>
        <w:spacing w:after="85" w:line="250"/>
      </w:pPr>
      <w:r>
        <w:rPr>
          <w:rFonts w:ascii="Calibri" w:cs="Calibri" w:eastAsia="Calibri" w:hAnsi="Calibri"/>
          <w:color w:val="24333A"/>
          <w:sz w:val="21"/>
          <w:szCs w:val="21"/>
        </w:rPr>
        <w:t xml:space="preserve">Some people may worry that a shed could cost too much, become messy or need extra supervision. Those are reasonable concerns. A space that staff cannot manage fairly would not solve the problem it is meant to address.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178"/>
            <w:tcBorders>
              <w:left w:val="single" w:color="3F7D72" w:sz="18"/>
            </w:tcBorders>
            <w:shd w:fill="E7F3EF" w:val="clear"/>
            <w:tcMar>
              <w:top w:type="dxa" w:w="120"/>
              <w:left w:type="dxa" w:w="150"/>
              <w:bottom w:type="dxa" w:w="120"/>
              <w:right w:type="dxa" w:w="150"/>
            </w:tcMar>
          </w:tcPr>
          <w:p>
            <w:pPr>
              <w:spacing w:after="20" w:line="250"/>
            </w:pPr>
            <w:r>
              <w:rPr>
                <w:rFonts w:ascii="Calibri" w:cs="Calibri" w:eastAsia="Calibri" w:hAnsi="Calibri"/>
                <w:b/>
                <w:bCs/>
                <w:color w:val="214E5D"/>
                <w:sz w:val="21"/>
                <w:szCs w:val="21"/>
              </w:rPr>
              <w:t xml:space="preserve">Response: </w:t>
            </w:r>
          </w:p>
          <w:p>
            <w:pPr>
              <w:spacing w:after="0" w:line="250"/>
            </w:pPr>
            <w:r>
              <w:rPr>
                <w:rFonts w:ascii="Calibri" w:cs="Calibri" w:eastAsia="Calibri" w:hAnsi="Calibri"/>
                <w:color w:val="24333A"/>
                <w:sz w:val="20"/>
                <w:szCs w:val="20"/>
              </w:rPr>
              <w:t xml:space="preserve">However, a short trial could begin with existing benches, a simple use-and-return routine and a weekly check-in with the duty teacher. The school could record which materials are used, what needs repair and whether the space is manageable before deciding whether to continue.</w:t>
            </w:r>
          </w:p>
        </w:tc>
      </w:tr>
    </w:tbl>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178"/>
            <w:tcBorders>
              <w:left w:val="single" w:color="214E5D" w:sz="18"/>
            </w:tcBorders>
            <w:shd w:fill="EEF3F4" w:val="clear"/>
            <w:tcMar>
              <w:top w:type="dxa" w:w="120"/>
              <w:left w:type="dxa" w:w="150"/>
              <w:bottom w:type="dxa" w:w="120"/>
              <w:right w:type="dxa" w:w="150"/>
            </w:tcMar>
          </w:tcPr>
          <w:p>
            <w:pPr>
              <w:spacing w:after="20" w:line="250"/>
            </w:pPr>
            <w:r>
              <w:rPr>
                <w:rFonts w:ascii="Calibri" w:cs="Calibri" w:eastAsia="Calibri" w:hAnsi="Calibri"/>
                <w:b/>
                <w:bCs/>
                <w:color w:val="214E5D"/>
                <w:sz w:val="21"/>
                <w:szCs w:val="21"/>
              </w:rPr>
              <w:t xml:space="preserve">Mark the feature: </w:t>
            </w:r>
          </w:p>
          <w:p>
            <w:pPr>
              <w:spacing w:after="0" w:line="250"/>
            </w:pPr>
            <w:r>
              <w:rPr>
                <w:rFonts w:ascii="Calibri" w:cs="Calibri" w:eastAsia="Calibri" w:hAnsi="Calibri"/>
                <w:color w:val="24333A"/>
                <w:sz w:val="20"/>
                <w:szCs w:val="20"/>
              </w:rPr>
              <w:t xml:space="preserve">H = hook | T = thesis | R = reason | O = other view | C = conclusion</w:t>
            </w:r>
          </w:p>
        </w:tc>
      </w:tr>
    </w:tbl>
    <w:p>
      <w:r>
        <w:br w:type="page"/>
      </w:r>
    </w:p>
    <w:p>
      <w:pPr>
        <w:spacing w:after="100" w:line="250"/>
      </w:pPr>
      <w:r>
        <w:rPr>
          <w:rFonts w:ascii="Calibri" w:cs="Calibri" w:eastAsia="Calibri" w:hAnsi="Calibri"/>
          <w:b/>
          <w:bCs/>
          <w:color w:val="214E5D"/>
          <w:sz w:val="30"/>
          <w:szCs w:val="30"/>
        </w:rPr>
        <w:t xml:space="preserve">What the model does</w:t>
      </w:r>
    </w:p>
    <w:p>
      <w:pPr>
        <w:spacing w:after="85" w:line="250"/>
      </w:pPr>
      <w:r>
        <w:rPr>
          <w:rFonts w:ascii="Calibri" w:cs="Calibri" w:eastAsia="Calibri" w:hAnsi="Calibri"/>
          <w:color w:val="24333A"/>
          <w:sz w:val="21"/>
          <w:szCs w:val="21"/>
        </w:rPr>
        <w:t xml:space="preserve">The proposal returns to its main point at the end: Harbourview should trial the Shade Shed, collect information during the term and decide what to do next. This conclusion is not a promise that every student will enjoy the shed. It is a request for a limited action that an audience can evaluate.</w:t>
      </w:r>
    </w:p>
    <w:p>
      <w:pPr>
        <w:spacing w:after="85" w:line="250"/>
      </w:pPr>
      <w:r>
        <w:rPr>
          <w:rFonts w:ascii="Calibri" w:cs="Calibri" w:eastAsia="Calibri" w:hAnsi="Calibri"/>
          <w:color w:val="24333A"/>
          <w:sz w:val="21"/>
          <w:szCs w:val="21"/>
        </w:rPr>
        <w:t xml:space="preserve">The model also avoids pretending that one feeling is evidence. Maia's observation creates a reason to investigate a need; it does not prove that the school should spend money. A writer would still need to find reliable information, listen to different views and explain where the information came from.</w:t>
      </w:r>
    </w:p>
    <w:p>
      <w:pPr>
        <w:spacing w:after="100" w:line="250"/>
      </w:pPr>
      <w:r>
        <w:rPr>
          <w:rFonts w:ascii="Calibri" w:cs="Calibri" w:eastAsia="Calibri" w:hAnsi="Calibri"/>
          <w:b/>
          <w:bCs/>
          <w:color w:val="214E5D"/>
          <w:sz w:val="30"/>
          <w:szCs w:val="30"/>
        </w:rPr>
        <w:t xml:space="preserve">Model map</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78"/>
      </w:tblGrid>
      <w:tr>
        <w:trPr>
          <w:tblHeader/>
        </w:trPr>
        <w:tc>
          <w:tcPr>
            <w:tcW w:type="dxa" w:w="2200"/>
            <w:tcBorders>
              <w:top w:val="single" w:color="BFD0D2" w:sz="4"/>
              <w:left w:val="single" w:color="BFD0D2" w:sz="4"/>
              <w:bottom w:val="single" w:color="BFD0D2" w:sz="4"/>
              <w:right w:val="single" w:color="BFD0D2" w:sz="4"/>
            </w:tcBorders>
            <w:shd w:fill="183E4A" w:val="clear"/>
            <w:tcMar>
              <w:top w:type="dxa" w:w="90"/>
              <w:left w:type="dxa" w:w="120"/>
              <w:bottom w:type="dxa" w:w="90"/>
              <w:right w:type="dxa" w:w="120"/>
            </w:tcMar>
          </w:tcPr>
          <w:p>
            <w:pPr>
              <w:spacing w:after="0" w:line="220"/>
            </w:pPr>
            <w:r>
              <w:rPr>
                <w:rFonts w:ascii="Calibri" w:cs="Calibri" w:eastAsia="Calibri" w:hAnsi="Calibri"/>
                <w:b/>
                <w:bCs/>
                <w:color w:val="FFFFFF"/>
                <w:sz w:val="18"/>
                <w:szCs w:val="18"/>
              </w:rPr>
              <w:t xml:space="preserve">Part</w:t>
            </w:r>
          </w:p>
        </w:tc>
        <w:tc>
          <w:tcPr>
            <w:tcW w:type="dxa" w:w="4600"/>
            <w:tcBorders>
              <w:top w:val="single" w:color="BFD0D2" w:sz="4"/>
              <w:left w:val="single" w:color="BFD0D2" w:sz="4"/>
              <w:bottom w:val="single" w:color="BFD0D2" w:sz="4"/>
              <w:right w:val="single" w:color="BFD0D2" w:sz="4"/>
            </w:tcBorders>
            <w:shd w:fill="183E4A" w:val="clear"/>
            <w:tcMar>
              <w:top w:type="dxa" w:w="90"/>
              <w:left w:type="dxa" w:w="120"/>
              <w:bottom w:type="dxa" w:w="90"/>
              <w:right w:type="dxa" w:w="120"/>
            </w:tcMar>
          </w:tcPr>
          <w:p>
            <w:pPr>
              <w:spacing w:after="0" w:line="220"/>
            </w:pPr>
            <w:r>
              <w:rPr>
                <w:rFonts w:ascii="Calibri" w:cs="Calibri" w:eastAsia="Calibri" w:hAnsi="Calibri"/>
                <w:b/>
                <w:bCs/>
                <w:color w:val="FFFFFF"/>
                <w:sz w:val="18"/>
                <w:szCs w:val="18"/>
              </w:rPr>
              <w:t xml:space="preserve">What it does</w:t>
            </w:r>
          </w:p>
        </w:tc>
        <w:tc>
          <w:tcPr>
            <w:tcW w:type="dxa" w:w="3378"/>
            <w:tcBorders>
              <w:top w:val="single" w:color="BFD0D2" w:sz="4"/>
              <w:left w:val="single" w:color="BFD0D2" w:sz="4"/>
              <w:bottom w:val="single" w:color="BFD0D2" w:sz="4"/>
              <w:right w:val="single" w:color="BFD0D2" w:sz="4"/>
            </w:tcBorders>
            <w:shd w:fill="183E4A" w:val="clear"/>
            <w:tcMar>
              <w:top w:type="dxa" w:w="90"/>
              <w:left w:type="dxa" w:w="120"/>
              <w:bottom w:type="dxa" w:w="90"/>
              <w:right w:type="dxa" w:w="120"/>
            </w:tcMar>
          </w:tcPr>
          <w:p>
            <w:pPr>
              <w:spacing w:after="0" w:line="220"/>
            </w:pPr>
            <w:r>
              <w:rPr>
                <w:rFonts w:ascii="Calibri" w:cs="Calibri" w:eastAsia="Calibri" w:hAnsi="Calibri"/>
                <w:b/>
                <w:bCs/>
                <w:color w:val="FFFFFF"/>
                <w:sz w:val="18"/>
                <w:szCs w:val="18"/>
              </w:rPr>
              <w:t xml:space="preserve">Find it in the model</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Hook</w:t>
            </w:r>
          </w:p>
        </w:tc>
        <w:tc>
          <w:tcPr>
            <w:tcW w:type="dxa" w:w="46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Introduces a situation and reason to care.</w:t>
            </w:r>
          </w:p>
        </w:tc>
        <w:tc>
          <w:tcPr>
            <w:tcW w:type="dxa" w:w="33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At lunch, the strip...</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Thesis</w:t>
            </w:r>
          </w:p>
        </w:tc>
        <w:tc>
          <w:tcPr>
            <w:tcW w:type="dxa" w:w="46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Names a position and action.</w:t>
            </w:r>
          </w:p>
        </w:tc>
        <w:tc>
          <w:tcPr>
            <w:tcW w:type="dxa" w:w="33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Harbourview should trial...</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Topic sentence</w:t>
            </w:r>
          </w:p>
        </w:tc>
        <w:tc>
          <w:tcPr>
            <w:tcW w:type="dxa" w:w="46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States one reason.</w:t>
            </w:r>
          </w:p>
        </w:tc>
        <w:tc>
          <w:tcPr>
            <w:tcW w:type="dxa" w:w="33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First, the shed would...</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Other view</w:t>
            </w:r>
          </w:p>
        </w:tc>
        <w:tc>
          <w:tcPr>
            <w:tcW w:type="dxa" w:w="46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Acknowledges a real concern.</w:t>
            </w:r>
          </w:p>
        </w:tc>
        <w:tc>
          <w:tcPr>
            <w:tcW w:type="dxa" w:w="33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Some people may worry...</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Conclusion</w:t>
            </w:r>
          </w:p>
        </w:tc>
        <w:tc>
          <w:tcPr>
            <w:tcW w:type="dxa" w:w="46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Returns to a measured next step.</w:t>
            </w:r>
          </w:p>
        </w:tc>
        <w:tc>
          <w:tcPr>
            <w:tcW w:type="dxa" w:w="33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24333A"/>
                <w:sz w:val="18"/>
                <w:szCs w:val="18"/>
              </w:rPr>
              <w:t xml:space="preserve">Trial, collect, decide.</w:t>
            </w:r>
          </w:p>
        </w:tc>
      </w:tr>
    </w:tbl>
    <w:p>
      <w:pPr>
        <w:spacing w:after="100" w:line="250"/>
      </w:pPr>
      <w:r>
        <w:rPr>
          <w:rFonts w:ascii="Calibri" w:cs="Calibri" w:eastAsia="Calibri" w:hAnsi="Calibri"/>
          <w:b/>
          <w:bCs/>
          <w:color w:val="214E5D"/>
          <w:sz w:val="30"/>
          <w:szCs w:val="30"/>
        </w:rPr>
        <w:t xml:space="preserve">Reading check</w:t>
      </w:r>
    </w:p>
    <w:p>
      <w:pPr>
        <w:spacing w:after="85" w:line="250"/>
      </w:pPr>
      <w:r>
        <w:rPr>
          <w:rFonts w:ascii="Calibri" w:cs="Calibri" w:eastAsia="Calibri" w:hAnsi="Calibri"/>
          <w:color w:val="24333A"/>
          <w:sz w:val="21"/>
          <w:szCs w:val="21"/>
        </w:rPr>
        <w:t xml:space="preserve">1. Copy the thesis in your own words.
2. Underline a topic sentence and explain its job.
3. Box the fair concern.
4. Write one question the writer would need to research.
5. Explain why “The Shade Shed will fix every playground problem” is an overclaim.</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178"/>
            <w:tcBorders>
              <w:left w:val="single" w:color="214E5D" w:sz="18"/>
            </w:tcBorders>
            <w:shd w:fill="EEF3F4" w:val="clear"/>
            <w:tcMar>
              <w:top w:type="dxa" w:w="120"/>
              <w:left w:type="dxa" w:w="150"/>
              <w:bottom w:type="dxa" w:w="120"/>
              <w:right w:type="dxa" w:w="150"/>
            </w:tcMar>
          </w:tcPr>
          <w:p>
            <w:pPr>
              <w:spacing w:after="20" w:line="250"/>
            </w:pPr>
            <w:r>
              <w:rPr>
                <w:rFonts w:ascii="Calibri" w:cs="Calibri" w:eastAsia="Calibri" w:hAnsi="Calibri"/>
                <w:b/>
                <w:bCs/>
                <w:color w:val="214E5D"/>
                <w:sz w:val="21"/>
                <w:szCs w:val="21"/>
              </w:rPr>
              <w:t xml:space="preserve">Source note: </w:t>
            </w:r>
          </w:p>
          <w:p>
            <w:pPr>
              <w:spacing w:after="0" w:line="250"/>
            </w:pPr>
            <w:r>
              <w:rPr>
                <w:rFonts w:ascii="Calibri" w:cs="Calibri" w:eastAsia="Calibri" w:hAnsi="Calibri"/>
                <w:color w:val="24333A"/>
                <w:sz w:val="20"/>
                <w:szCs w:val="20"/>
              </w:rPr>
              <w:t xml:space="preserve">This is an original fictional classroom feature. Students must gather their own traceable research in Lesson 27.</w:t>
            </w:r>
          </w:p>
        </w:tc>
      </w:tr>
    </w:tbl>
    <w:sectPr>
      <w:headerReference w:type="default" r:id="rId7"/>
      <w:footerReference w:type="default" r:id="rId8"/>
      <w:pgSz w:w="11906" w:h="16838" w:orient="portrait"/>
      <w:pgMar w:top="864" w:right="864" w:bottom="864" w:left="864"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50"/>
      <w:jc w:val="center"/>
    </w:pPr>
    <w:r>
      <w:rPr>
        <w:rFonts w:ascii="Calibri" w:cs="Calibri" w:eastAsia="Calibri" w:hAnsi="Calibri"/>
        <w:color w:val="66767B"/>
        <w:sz w:val="15"/>
        <w:szCs w:val="15"/>
      </w:rPr>
      <w:t xml:space="preserve">Student Reading Pack | The Shade Shed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50"/>
      <w:jc w:val="right"/>
    </w:pPr>
    <w:r>
      <w:rPr>
        <w:rFonts w:ascii="Calibri" w:cs="Calibri" w:eastAsia="Calibri" w:hAnsi="Calibri"/>
        <w:b/>
        <w:bCs/>
        <w:color w:val="66767B"/>
        <w:sz w:val="15"/>
        <w:szCs w:val="15"/>
      </w:rPr>
      <w:t xml:space="preserve">ENGLISH UNIT 3 | LESSON 26 ALTERNATIVE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33A"/>
        <w:sz w:val="21"/>
        <w:szCs w:val="21"/>
      </w:rPr>
    </w:rPrDefault>
    <w:pPrDefault>
      <w:pPr>
        <w:spacing w:after="85"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10" w:before="200"/>
    </w:pPr>
    <w:rPr>
      <w:rFonts w:ascii="Calibri" w:cs="Calibri" w:eastAsia="Calibri" w:hAnsi="Calibri"/>
      <w:b/>
      <w:bCs/>
      <w:color w:val="214E5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Reading Pack</dc:title>
  <dc:creator>Joshua English Unit 3</dc:creator>
  <cp:lastModifiedBy>Un-named</cp:lastModifiedBy>
  <cp:revision>1</cp:revision>
  <dcterms:created xsi:type="dcterms:W3CDTF">2026-08-12T09:56:48.860Z</dcterms:created>
  <dcterms:modified xsi:type="dcterms:W3CDTF">2026-08-12T09:56:48.861Z</dcterms:modified>
</cp:coreProperties>
</file>

<file path=docProps/custom.xml><?xml version="1.0" encoding="utf-8"?>
<Properties xmlns="http://schemas.openxmlformats.org/officeDocument/2006/custom-properties" xmlns:vt="http://schemas.openxmlformats.org/officeDocument/2006/docPropsVTypes"/>
</file>