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line="250"/>
      </w:pPr>
      <w:r>
        <w:rPr>
          <w:rFonts w:ascii="Calibri" w:cs="Calibri" w:eastAsia="Calibri" w:hAnsi="Calibri"/>
          <w:b/>
          <w:bCs/>
          <w:color w:val="B35F47"/>
          <w:sz w:val="17"/>
          <w:szCs w:val="17"/>
        </w:rPr>
        <w:t xml:space="preserve">ORIGINAL CLASSROOM FEATURE</w:t>
      </w:r>
    </w:p>
    <w:p>
      <w:pPr>
        <w:spacing w:after="55" w:line="250"/>
      </w:pPr>
      <w:r>
        <w:rPr>
          <w:rFonts w:ascii="Calibri" w:cs="Calibri" w:eastAsia="Calibri" w:hAnsi="Calibri"/>
          <w:b/>
          <w:bCs/>
          <w:color w:val="173946"/>
          <w:sz w:val="46"/>
          <w:szCs w:val="46"/>
        </w:rPr>
        <w:t xml:space="preserve">The Crossing Cabinet</w:t>
      </w:r>
    </w:p>
    <w:p>
      <w:pPr>
        <w:spacing w:after="120" w:line="250"/>
      </w:pPr>
      <w:r>
        <w:rPr>
          <w:rFonts w:ascii="Calibri" w:cs="Calibri" w:eastAsia="Calibri" w:hAnsi="Calibri"/>
          <w:i/>
          <w:iCs/>
          <w:color w:val="55727B"/>
          <w:sz w:val="22"/>
          <w:szCs w:val="22"/>
        </w:rPr>
        <w:t xml:space="preserve">A fictional model of a persuasive plan: clear enough for an audience to decide.</w:t>
      </w:r>
    </w:p>
    <w:p>
      <w:pPr>
        <w:spacing w:after="170" w:line="250"/>
      </w:pPr>
      <w:r>
        <w:rPr>
          <w:rFonts w:ascii="Calibri" w:cs="Calibri" w:eastAsia="Calibri" w:hAnsi="Calibri"/>
          <w:b/>
          <w:bCs/>
          <w:color w:val="3F7D72"/>
          <w:sz w:val="17"/>
          <w:szCs w:val="17"/>
        </w:rPr>
        <w:t xml:space="preserve">READ | MARK CLAIM / REASON / CONCERN / RESPONSE</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178"/>
            <w:tcBorders>
              <w:left w:val="single" w:color="3F7D72" w:sz="18"/>
            </w:tcBorders>
            <w:shd w:fill="FFF6DF" w:val="clear"/>
            <w:tcMar>
              <w:top w:type="dxa" w:w="120"/>
              <w:left w:type="dxa" w:w="150"/>
              <w:bottom w:type="dxa" w:w="120"/>
              <w:right w:type="dxa" w:w="150"/>
            </w:tcMar>
          </w:tcPr>
          <w:p>
            <w:pPr>
              <w:spacing w:after="18" w:line="250"/>
            </w:pPr>
            <w:r>
              <w:rPr>
                <w:rFonts w:ascii="Calibri" w:cs="Calibri" w:eastAsia="Calibri" w:hAnsi="Calibri"/>
                <w:b/>
                <w:bCs/>
                <w:color w:val="173946"/>
                <w:sz w:val="20"/>
                <w:szCs w:val="20"/>
              </w:rPr>
              <w:t xml:space="preserve">Fiction boundary</w:t>
            </w:r>
          </w:p>
          <w:p>
            <w:pPr>
              <w:spacing w:after="0" w:line="250"/>
            </w:pPr>
            <w:r>
              <w:rPr>
                <w:rFonts w:ascii="Calibri" w:cs="Calibri" w:eastAsia="Calibri" w:hAnsi="Calibri"/>
                <w:color w:val="173946"/>
                <w:sz w:val="20"/>
                <w:szCs w:val="20"/>
              </w:rPr>
              <w:t xml:space="preserve">The school, Niko and cabinet are invented. Read for planning structure; do not cite any detail as research evidence.</w:t>
            </w:r>
          </w:p>
        </w:tc>
      </w:tr>
    </w:tbl>
    <w:p>
      <w:pPr>
        <w:spacing w:after="100" w:line="250"/>
      </w:pPr>
      <w:r>
        <w:rPr>
          <w:rFonts w:ascii="Calibri" w:cs="Calibri" w:eastAsia="Calibri" w:hAnsi="Calibri"/>
          <w:b/>
          <w:bCs/>
          <w:color w:val="173946"/>
          <w:sz w:val="30"/>
          <w:szCs w:val="30"/>
        </w:rPr>
        <w:t xml:space="preserve">A small choice at lunch</w:t>
      </w:r>
    </w:p>
    <w:p>
      <w:pPr>
        <w:spacing w:after="85" w:line="250"/>
      </w:pPr>
      <w:r>
        <w:rPr>
          <w:rFonts w:ascii="Calibri" w:cs="Calibri" w:eastAsia="Calibri" w:hAnsi="Calibri"/>
          <w:color w:val="173946"/>
          <w:sz w:val="21"/>
          <w:szCs w:val="21"/>
        </w:rPr>
        <w:t xml:space="preserve">At Seabrook School, Niko proposes a weatherproof cabinet with chalk, skipping ropes, card games and soft balls near a quiet paved strip. He wants students to have another way to join in while they wait for friends or siblings.</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178"/>
            <w:tcBorders>
              <w:left w:val="single" w:color="3F7D72" w:sz="18"/>
            </w:tcBorders>
            <w:shd w:fill="FFF6DF" w:val="clear"/>
            <w:tcMar>
              <w:top w:type="dxa" w:w="120"/>
              <w:left w:type="dxa" w:w="150"/>
              <w:bottom w:type="dxa" w:w="120"/>
              <w:right w:type="dxa" w:w="150"/>
            </w:tcMar>
          </w:tcPr>
          <w:p>
            <w:pPr>
              <w:spacing w:after="18" w:line="250"/>
            </w:pPr>
            <w:r>
              <w:rPr>
                <w:rFonts w:ascii="Calibri" w:cs="Calibri" w:eastAsia="Calibri" w:hAnsi="Calibri"/>
                <w:b/>
                <w:bCs/>
                <w:color w:val="173946"/>
                <w:sz w:val="20"/>
                <w:szCs w:val="20"/>
              </w:rPr>
              <w:t xml:space="preserve">Niko’s claim</w:t>
            </w:r>
          </w:p>
          <w:p>
            <w:pPr>
              <w:spacing w:after="0" w:line="250"/>
            </w:pPr>
            <w:r>
              <w:rPr>
                <w:rFonts w:ascii="Calibri" w:cs="Calibri" w:eastAsia="Calibri" w:hAnsi="Calibri"/>
                <w:color w:val="173946"/>
                <w:sz w:val="20"/>
                <w:szCs w:val="20"/>
              </w:rPr>
              <w:t xml:space="preserve">Seabrook School should trial a Crossing Cabinet for four weeks, then use what it learns to decide whether the cabinet should continue.</w:t>
            </w:r>
          </w:p>
        </w:tc>
      </w:tr>
    </w:tbl>
    <w:p>
      <w:pPr>
        <w:spacing w:after="85" w:line="250"/>
      </w:pPr>
      <w:r>
        <w:rPr>
          <w:rFonts w:ascii="Calibri" w:cs="Calibri" w:eastAsia="Calibri" w:hAnsi="Calibri"/>
          <w:color w:val="173946"/>
          <w:sz w:val="21"/>
          <w:szCs w:val="21"/>
        </w:rPr>
        <w:t xml:space="preserve">First, shared equipment could give students another way to connect. The cabinet would not replace the oval or courts; it would make an overlooked space more useful. Second, a short trial would let staff and students note what is borrowed, returned and actually useful before making a bigger decision.</w:t>
      </w:r>
    </w:p>
    <w:p>
      <w:pPr>
        <w:spacing w:after="100" w:line="250"/>
      </w:pPr>
      <w:r>
        <w:rPr>
          <w:rFonts w:ascii="Calibri" w:cs="Calibri" w:eastAsia="Calibri" w:hAnsi="Calibri"/>
          <w:b/>
          <w:bCs/>
          <w:color w:val="173946"/>
          <w:sz w:val="30"/>
          <w:szCs w:val="30"/>
        </w:rPr>
        <w:t xml:space="preserve">A careful plan anticipates a real question</w:t>
      </w:r>
    </w:p>
    <w:p>
      <w:pPr>
        <w:spacing w:after="85" w:line="250"/>
      </w:pPr>
      <w:r>
        <w:rPr>
          <w:rFonts w:ascii="Calibri" w:cs="Calibri" w:eastAsia="Calibri" w:hAnsi="Calibri"/>
          <w:color w:val="173946"/>
          <w:sz w:val="21"/>
          <w:szCs w:val="21"/>
        </w:rPr>
        <w:t xml:space="preserve">Some people may reasonably worry that equipment could be lost, damaged or create extra work for staff. Ignoring that concern would make the proposal less trustworthy.</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178"/>
            <w:tcBorders>
              <w:left w:val="single" w:color="3F7D72" w:sz="18"/>
            </w:tcBorders>
            <w:shd w:fill="E7F3EF" w:val="clear"/>
            <w:tcMar>
              <w:top w:type="dxa" w:w="120"/>
              <w:left w:type="dxa" w:w="150"/>
              <w:bottom w:type="dxa" w:w="120"/>
              <w:right w:type="dxa" w:w="150"/>
            </w:tcMar>
          </w:tcPr>
          <w:p>
            <w:pPr>
              <w:spacing w:after="18" w:line="250"/>
            </w:pPr>
            <w:r>
              <w:rPr>
                <w:rFonts w:ascii="Calibri" w:cs="Calibri" w:eastAsia="Calibri" w:hAnsi="Calibri"/>
                <w:b/>
                <w:bCs/>
                <w:color w:val="173946"/>
                <w:sz w:val="20"/>
                <w:szCs w:val="20"/>
              </w:rPr>
              <w:t xml:space="preserve">Response</w:t>
            </w:r>
          </w:p>
          <w:p>
            <w:pPr>
              <w:spacing w:after="0" w:line="250"/>
            </w:pPr>
            <w:r>
              <w:rPr>
                <w:rFonts w:ascii="Calibri" w:cs="Calibri" w:eastAsia="Calibri" w:hAnsi="Calibri"/>
                <w:color w:val="173946"/>
                <w:sz w:val="20"/>
                <w:szCs w:val="20"/>
              </w:rPr>
              <w:t xml:space="preserve">Start with a small set of durable items, use a sign-out card and ask a rotating student team to check the cabinet after lunch. A duty teacher can review the notes weekly and change the routine if it is not manageable.</w:t>
            </w:r>
          </w:p>
        </w:tc>
      </w:tr>
    </w:tbl>
    <w:p>
      <w:r>
        <w:br w:type="page"/>
      </w:r>
    </w:p>
    <w:p>
      <w:pPr>
        <w:spacing w:after="100" w:line="250"/>
      </w:pPr>
      <w:r>
        <w:rPr>
          <w:rFonts w:ascii="Calibri" w:cs="Calibri" w:eastAsia="Calibri" w:hAnsi="Calibri"/>
          <w:b/>
          <w:bCs/>
          <w:color w:val="173946"/>
          <w:sz w:val="30"/>
          <w:szCs w:val="30"/>
        </w:rPr>
        <w:t xml:space="preserve">What the model does</w:t>
      </w:r>
    </w:p>
    <w:p>
      <w:pPr>
        <w:spacing w:after="85" w:line="250"/>
      </w:pPr>
      <w:r>
        <w:rPr>
          <w:rFonts w:ascii="Calibri" w:cs="Calibri" w:eastAsia="Calibri" w:hAnsi="Calibri"/>
          <w:color w:val="173946"/>
          <w:sz w:val="21"/>
          <w:szCs w:val="21"/>
        </w:rPr>
        <w:t xml:space="preserve">Niko does not promise that the cabinet will fix every lunchtime problem. He asks the school to test one manageable action, listen to a fair concern and decide with better information. The model has no verified sources. A writer must still attach each reason to a checked evidence note and source detail.</w:t>
      </w:r>
    </w:p>
    <w:p>
      <w:pPr>
        <w:spacing w:after="100" w:line="250"/>
      </w:pPr>
      <w:r>
        <w:rPr>
          <w:rFonts w:ascii="Calibri" w:cs="Calibri" w:eastAsia="Calibri" w:hAnsi="Calibri"/>
          <w:b/>
          <w:bCs/>
          <w:color w:val="173946"/>
          <w:sz w:val="30"/>
          <w:szCs w:val="30"/>
        </w:rPr>
        <w:t xml:space="preserve">Planning map</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578"/>
      </w:tblGrid>
      <w:tr>
        <w:trPr>
          <w:tblHeader/>
        </w:trPr>
        <w:tc>
          <w:tcPr>
            <w:tcW w:type="dxa" w:w="2200"/>
            <w:tcBorders>
              <w:top w:val="single" w:color="BFD0D2" w:sz="4"/>
              <w:left w:val="single" w:color="BFD0D2" w:sz="4"/>
              <w:bottom w:val="single" w:color="BFD0D2" w:sz="4"/>
              <w:right w:val="single" w:color="BFD0D2" w:sz="4"/>
            </w:tcBorders>
            <w:shd w:fill="173946" w:val="clear"/>
            <w:tcMar>
              <w:top w:type="dxa" w:w="90"/>
              <w:left w:type="dxa" w:w="120"/>
              <w:bottom w:type="dxa" w:w="90"/>
              <w:right w:type="dxa" w:w="120"/>
            </w:tcMar>
          </w:tcPr>
          <w:p>
            <w:pPr>
              <w:spacing w:after="0" w:line="220"/>
            </w:pPr>
            <w:r>
              <w:rPr>
                <w:rFonts w:ascii="Calibri" w:cs="Calibri" w:eastAsia="Calibri" w:hAnsi="Calibri"/>
                <w:b/>
                <w:bCs/>
                <w:color w:val="FFFFFF"/>
                <w:sz w:val="18"/>
                <w:szCs w:val="18"/>
              </w:rPr>
              <w:t xml:space="preserve">Part</w:t>
            </w:r>
          </w:p>
        </w:tc>
        <w:tc>
          <w:tcPr>
            <w:tcW w:type="dxa" w:w="4400"/>
            <w:tcBorders>
              <w:top w:val="single" w:color="BFD0D2" w:sz="4"/>
              <w:left w:val="single" w:color="BFD0D2" w:sz="4"/>
              <w:bottom w:val="single" w:color="BFD0D2" w:sz="4"/>
              <w:right w:val="single" w:color="BFD0D2" w:sz="4"/>
            </w:tcBorders>
            <w:shd w:fill="173946" w:val="clear"/>
            <w:tcMar>
              <w:top w:type="dxa" w:w="90"/>
              <w:left w:type="dxa" w:w="120"/>
              <w:bottom w:type="dxa" w:w="90"/>
              <w:right w:type="dxa" w:w="120"/>
            </w:tcMar>
          </w:tcPr>
          <w:p>
            <w:pPr>
              <w:spacing w:after="0" w:line="220"/>
            </w:pPr>
            <w:r>
              <w:rPr>
                <w:rFonts w:ascii="Calibri" w:cs="Calibri" w:eastAsia="Calibri" w:hAnsi="Calibri"/>
                <w:b/>
                <w:bCs/>
                <w:color w:val="FFFFFF"/>
                <w:sz w:val="18"/>
                <w:szCs w:val="18"/>
              </w:rPr>
              <w:t xml:space="preserve">Its job</w:t>
            </w:r>
          </w:p>
        </w:tc>
        <w:tc>
          <w:tcPr>
            <w:tcW w:type="dxa" w:w="3578"/>
            <w:tcBorders>
              <w:top w:val="single" w:color="BFD0D2" w:sz="4"/>
              <w:left w:val="single" w:color="BFD0D2" w:sz="4"/>
              <w:bottom w:val="single" w:color="BFD0D2" w:sz="4"/>
              <w:right w:val="single" w:color="BFD0D2" w:sz="4"/>
            </w:tcBorders>
            <w:shd w:fill="173946" w:val="clear"/>
            <w:tcMar>
              <w:top w:type="dxa" w:w="90"/>
              <w:left w:type="dxa" w:w="120"/>
              <w:bottom w:type="dxa" w:w="90"/>
              <w:right w:type="dxa" w:w="120"/>
            </w:tcMar>
          </w:tcPr>
          <w:p>
            <w:pPr>
              <w:spacing w:after="0" w:line="220"/>
            </w:pPr>
            <w:r>
              <w:rPr>
                <w:rFonts w:ascii="Calibri" w:cs="Calibri" w:eastAsia="Calibri" w:hAnsi="Calibri"/>
                <w:b/>
                <w:bCs/>
                <w:color w:val="FFFFFF"/>
                <w:sz w:val="18"/>
                <w:szCs w:val="18"/>
              </w:rPr>
              <w:t xml:space="preserve">Find it</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Claim</w:t>
            </w:r>
          </w:p>
        </w:tc>
        <w:tc>
          <w:tcPr>
            <w:tcW w:type="dxa" w:w="44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Names actor and action.</w:t>
            </w:r>
          </w:p>
        </w:tc>
        <w:tc>
          <w:tcPr>
            <w:tcW w:type="dxa" w:w="35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School should trial...</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Reason</w:t>
            </w:r>
          </w:p>
        </w:tc>
        <w:tc>
          <w:tcPr>
            <w:tcW w:type="dxa" w:w="44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Explains why it may matter.</w:t>
            </w:r>
          </w:p>
        </w:tc>
        <w:tc>
          <w:tcPr>
            <w:tcW w:type="dxa" w:w="35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Shared equipment could...</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Fair concern</w:t>
            </w:r>
          </w:p>
        </w:tc>
        <w:tc>
          <w:tcPr>
            <w:tcW w:type="dxa" w:w="44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Names a reasonable question.</w:t>
            </w:r>
          </w:p>
        </w:tc>
        <w:tc>
          <w:tcPr>
            <w:tcW w:type="dxa" w:w="35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Equipment could be...</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Response</w:t>
            </w:r>
          </w:p>
        </w:tc>
        <w:tc>
          <w:tcPr>
            <w:tcW w:type="dxa" w:w="44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Answers that concern.</w:t>
            </w:r>
          </w:p>
        </w:tc>
        <w:tc>
          <w:tcPr>
            <w:tcW w:type="dxa" w:w="35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Start small, sign out...</w:t>
            </w:r>
          </w:p>
        </w:tc>
      </w:tr>
      <w:tr>
        <w:tc>
          <w:tcPr>
            <w:tcW w:type="dxa" w:w="22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Conclusion</w:t>
            </w:r>
          </w:p>
        </w:tc>
        <w:tc>
          <w:tcPr>
            <w:tcW w:type="dxa" w:w="4400"/>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Asks for a measured next step.</w:t>
            </w:r>
          </w:p>
        </w:tc>
        <w:tc>
          <w:tcPr>
            <w:tcW w:type="dxa" w:w="3578"/>
            <w:tcBorders>
              <w:top w:val="single" w:color="BFD0D2" w:sz="4"/>
              <w:left w:val="single" w:color="BFD0D2" w:sz="4"/>
              <w:bottom w:val="single" w:color="BFD0D2" w:sz="4"/>
              <w:right w:val="single" w:color="BFD0D2" w:sz="4"/>
            </w:tcBorders>
            <w:shd w:fill="FFFFFF" w:val="clear"/>
            <w:tcMar>
              <w:top w:type="dxa" w:w="90"/>
              <w:left w:type="dxa" w:w="120"/>
              <w:bottom w:type="dxa" w:w="90"/>
              <w:right w:type="dxa" w:w="120"/>
            </w:tcMar>
          </w:tcPr>
          <w:p>
            <w:pPr>
              <w:spacing w:after="0" w:line="220"/>
            </w:pPr>
            <w:r>
              <w:rPr>
                <w:rFonts w:ascii="Calibri" w:cs="Calibri" w:eastAsia="Calibri" w:hAnsi="Calibri"/>
                <w:b w:val="false"/>
                <w:bCs w:val="false"/>
                <w:color w:val="173946"/>
                <w:sz w:val="18"/>
                <w:szCs w:val="18"/>
              </w:rPr>
              <w:t xml:space="preserve">Trial, learn, decide.</w:t>
            </w:r>
          </w:p>
        </w:tc>
      </w:tr>
    </w:tbl>
    <w:p>
      <w:pPr>
        <w:spacing w:after="100" w:line="250"/>
      </w:pPr>
      <w:r>
        <w:rPr>
          <w:rFonts w:ascii="Calibri" w:cs="Calibri" w:eastAsia="Calibri" w:hAnsi="Calibri"/>
          <w:b/>
          <w:bCs/>
          <w:color w:val="173946"/>
          <w:sz w:val="30"/>
          <w:szCs w:val="30"/>
        </w:rPr>
        <w:t xml:space="preserve">Reading check</w:t>
      </w:r>
    </w:p>
    <w:p>
      <w:pPr>
        <w:spacing w:after="85" w:line="250"/>
      </w:pPr>
      <w:r>
        <w:rPr>
          <w:rFonts w:ascii="Calibri" w:cs="Calibri" w:eastAsia="Calibri" w:hAnsi="Calibri"/>
          <w:color w:val="173946"/>
          <w:sz w:val="21"/>
          <w:szCs w:val="21"/>
        </w:rPr>
        <w:t xml:space="preserve">1. Paraphrase Niko’s claim.
2. Underline a reason and explain its audience benefit.
3. Box the fair concern. Why is it fair?
4. Draw an arrow to the response that answers it.
5. Explain why “The cabinet will make every lunch perfect” is an overclaim.</w:t>
      </w:r>
    </w:p>
    <w:tbl>
      <w:tblPr>
        <w:tblW w:type="dxa" w:w="1017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10178"/>
            <w:tcBorders>
              <w:left w:val="single" w:color="3F7D72" w:sz="18"/>
            </w:tcBorders>
            <w:shd w:fill="E7F3EF" w:val="clear"/>
            <w:tcMar>
              <w:top w:type="dxa" w:w="120"/>
              <w:left w:type="dxa" w:w="150"/>
              <w:bottom w:type="dxa" w:w="120"/>
              <w:right w:type="dxa" w:w="150"/>
            </w:tcMar>
          </w:tcPr>
          <w:p>
            <w:pPr>
              <w:spacing w:after="18" w:line="250"/>
            </w:pPr>
            <w:r>
              <w:rPr>
                <w:rFonts w:ascii="Calibri" w:cs="Calibri" w:eastAsia="Calibri" w:hAnsi="Calibri"/>
                <w:b/>
                <w:bCs/>
                <w:color w:val="173946"/>
                <w:sz w:val="20"/>
                <w:szCs w:val="20"/>
              </w:rPr>
              <w:t xml:space="preserve">Before you draft</w:t>
            </w:r>
          </w:p>
          <w:p>
            <w:pPr>
              <w:spacing w:after="0" w:line="250"/>
            </w:pPr>
            <w:r>
              <w:rPr>
                <w:rFonts w:ascii="Calibri" w:cs="Calibri" w:eastAsia="Calibri" w:hAnsi="Calibri"/>
                <w:color w:val="173946"/>
                <w:sz w:val="20"/>
                <w:szCs w:val="20"/>
              </w:rPr>
              <w:t xml:space="preserve">Your assessment plan uses your own checked research notes. Write needs checking when a source detail is incomplete.</w:t>
            </w:r>
          </w:p>
        </w:tc>
      </w:tr>
    </w:tbl>
    <w:sectPr>
      <w:headerReference w:type="default" r:id="rId7"/>
      <w:footerReference w:type="default" r:id="rId8"/>
      <w:pgSz w:w="11906" w:h="16838" w:orient="portrait"/>
      <w:pgMar w:top="864" w:right="864" w:bottom="864" w:left="864"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50"/>
      <w:jc w:val="center"/>
    </w:pPr>
    <w:r>
      <w:rPr>
        <w:rFonts w:ascii="Calibri" w:cs="Calibri" w:eastAsia="Calibri" w:hAnsi="Calibri"/>
        <w:color w:val="55727B"/>
        <w:sz w:val="15"/>
        <w:szCs w:val="15"/>
      </w:rPr>
      <w:t xml:space="preserve">Student Reading Pack | The Crossing Cabinet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50"/>
      <w:jc w:val="right"/>
    </w:pPr>
    <w:r>
      <w:rPr>
        <w:rFonts w:ascii="Calibri" w:cs="Calibri" w:eastAsia="Calibri" w:hAnsi="Calibri"/>
        <w:b/>
        <w:bCs/>
        <w:color w:val="55727B"/>
        <w:sz w:val="15"/>
        <w:szCs w:val="15"/>
      </w:rPr>
      <w:t xml:space="preserve">ENGLISH UNIT 3 | LESSON 28 ALTERNATIVE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3946"/>
        <w:sz w:val="21"/>
        <w:szCs w:val="21"/>
      </w:rPr>
    </w:rPrDefault>
    <w:pPrDefault>
      <w:pPr>
        <w:spacing w:after="85"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Reading Pack</dc:title>
  <dc:creator>Joshua English Unit 3</dc:creator>
  <cp:lastModifiedBy>Un-named</cp:lastModifiedBy>
  <cp:revision>1</cp:revision>
  <dcterms:created xsi:type="dcterms:W3CDTF">2026-08-12T10:14:22.813Z</dcterms:created>
  <dcterms:modified xsi:type="dcterms:W3CDTF">2026-08-12T10:14:22.814Z</dcterms:modified>
</cp:coreProperties>
</file>

<file path=docProps/custom.xml><?xml version="1.0" encoding="utf-8"?>
<Properties xmlns="http://schemas.openxmlformats.org/officeDocument/2006/custom-properties" xmlns:vt="http://schemas.openxmlformats.org/officeDocument/2006/docPropsVTypes"/>
</file>