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i w:val="0"/>
          <w:color w:val="C77D18"/>
          <w:sz w:val="18"/>
        </w:rPr>
        <w:t>WEEK 1 | TOPIC 1: VALUING DIVERSITY</w:t>
      </w:r>
    </w:p>
    <w:p>
      <w:pPr>
        <w:pStyle w:val="Title"/>
        <w:spacing w:after="80"/>
      </w:pPr>
      <w:r>
        <w:rPr>
          <w:rFonts w:ascii="Calibri" w:hAnsi="Calibri"/>
          <w:b/>
          <w:i w:val="0"/>
          <w:color w:val="17324D"/>
          <w:sz w:val="54"/>
        </w:rPr>
        <w:t>My activity, our community</w:t>
      </w:r>
    </w:p>
    <w:p>
      <w:pPr>
        <w:pStyle w:val="Subtitle"/>
      </w:pPr>
      <w:r>
        <w:rPr>
          <w:rFonts w:ascii="Calibri" w:hAnsi="Calibri"/>
          <w:b w:val="0"/>
          <w:i w:val="0"/>
          <w:color w:val="52606D"/>
          <w:sz w:val="26"/>
        </w:rPr>
        <w:t>A 60-minute lesson in which students use personal and cultural activity evidence to explain how valuing diversity can strengthen community wellbeing.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07C83"/>
          <w:left w:val="single" w:sz="8" w:color="007C83"/>
          <w:bottom w:val="single" w:sz="8" w:color="007C83"/>
          <w:right w:val="single" w:sz="8" w:color="007C83"/>
          <w:insideH w:val="single" w:sz="8" w:color="007C83"/>
          <w:insideV w:val="single" w:sz="8" w:color="007C8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07C83"/>
                <w:sz w:val="15"/>
              </w:rPr>
              <w:t>YEAR</w:t>
              <w:br/>
            </w: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6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7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07C83"/>
                <w:sz w:val="15"/>
              </w:rPr>
              <w:t>DURATION</w:t>
              <w:br/>
            </w: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60 min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07C83"/>
                <w:sz w:val="15"/>
              </w:rPr>
              <w:t>EVIDENCE</w:t>
              <w:br/>
            </w: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Workbook pp. 2-6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7F8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07C83"/>
                <w:sz w:val="15"/>
              </w:rPr>
              <w:t>CODES</w:t>
              <w:br/>
            </w:r>
            <w:r>
              <w:rPr>
                <w:rFonts w:ascii="Calibri" w:hAnsi="Calibri"/>
                <w:b/>
                <w:i w:val="0"/>
                <w:color w:val="17324D"/>
                <w:sz w:val="21"/>
              </w:rPr>
              <w:t>ACPPS060 | ACPMP064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007C83"/>
          <w:left w:val="single" w:sz="10" w:color="007C83"/>
          <w:bottom w:val="single" w:sz="10" w:color="007C83"/>
          <w:right w:val="single" w:sz="10" w:color="007C83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7C83"/>
                <w:sz w:val="18"/>
              </w:rPr>
              <w:t xml:space="preserve">LESSON DESTINATION  </w:t>
            </w:r>
            <w:r>
              <w:rPr>
                <w:rFonts w:ascii="Calibri" w:hAnsi="Calibri"/>
                <w:b w:val="0"/>
                <w:i w:val="0"/>
                <w:color w:val="18242F"/>
                <w:sz w:val="21"/>
              </w:rPr>
              <w:t>Students produce a personal activity profile, compare cultural activities, and revise an inclusive community-activity proposal using peer feedback.</w:t>
            </w:r>
          </w:p>
        </w:tc>
      </w:tr>
    </w:tbl>
    <w:p>
      <w:pPr>
        <w:spacing w:after="0"/>
      </w:pPr>
    </w:p>
    <w:p>
      <w:pPr>
        <w:pStyle w:val="Heading1"/>
      </w:pPr>
      <w:r>
        <w:t>Learning and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DC"/>
          <w:left w:val="single" w:sz="6" w:color="CBD5DC"/>
          <w:bottom w:val="single" w:sz="6" w:color="CBD5DC"/>
          <w:right w:val="single" w:sz="6" w:color="CBD5DC"/>
          <w:insideH w:val="single" w:sz="6" w:color="CBD5DC"/>
          <w:insideV w:val="single" w:sz="6" w:color="CBD5DC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Learning intention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1D8"/>
          </w:tcPr>
          <w:p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Success evidence</w:t>
            </w:r>
          </w:p>
        </w:tc>
      </w:tr>
      <w:tr>
        <w:tc>
          <w:tcPr>
            <w:tcW w:type="dxa" w:w="4680"/>
          </w:tcPr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Explain how personal and cultural physical-activity choices show diversity.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Explain how valuing that diversity can improve belonging, participation and community wellbeing.</w:t>
            </w:r>
          </w:p>
        </w:tc>
        <w:tc>
          <w:tcPr>
            <w:tcW w:type="dxa" w:w="4680"/>
          </w:tcPr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I define physical activity and show what, where and why in my own profile.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I compare two cultural activities using accurate evidence.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I propose an inclusive activity and justify one revision with because.</w:t>
            </w:r>
          </w:p>
        </w:tc>
      </w:tr>
    </w:tbl>
    <w:p>
      <w:pPr>
        <w:pStyle w:val="Heading2"/>
      </w:pPr>
      <w:r>
        <w:t>Before the lesson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Print the Student Workbook double-sided (one per student). Keep completed workbooks as Week 1 evidence.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Print and cut one set of Cultural Activity Evidence Cards per five groups. Assign one card to each group.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Open Lesson 1_Presentation.html. It works offline; use N for teacher notes, F for fullscreen and R to reset the current slide.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If running a movement demonstration, prepare a soft ball and four markers, complete school risk-management requirements, and check space, footwear, sun safety and equipment.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For First Nations games, follow local school protocols. Where practical, inform or invite local Elders or First Nations groups rather than presenting one activity as representative of all cultures.</w:t>
      </w:r>
    </w:p>
    <w:p>
      <w:r>
        <w:br w:type="page"/>
      </w:r>
    </w:p>
    <w:p>
      <w:pPr>
        <w:pStyle w:val="Heading1"/>
      </w:pPr>
      <w:r>
        <w:t>Teaching sequence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DC"/>
          <w:left w:val="single" w:sz="6" w:color="CBD5DC"/>
          <w:bottom w:val="single" w:sz="6" w:color="CBD5DC"/>
          <w:right w:val="single" w:sz="6" w:color="CBD5DC"/>
          <w:insideH w:val="single" w:sz="6" w:color="CBD5DC"/>
          <w:insideV w:val="single" w:sz="6" w:color="CBD5DC"/>
        </w:tblBorders>
      </w:tblPr>
      <w:tblGrid>
        <w:gridCol w:w="720"/>
        <w:gridCol w:w="1800"/>
        <w:gridCol w:w="4680"/>
        <w:gridCol w:w="2160"/>
      </w:tblGrid>
      <w:tr>
        <w:trPr>
          <w:tblHeader w:val="true"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24D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24D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Phase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24D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Teacher moves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24D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Evidence to notice</w:t>
            </w:r>
          </w:p>
        </w:tc>
      </w:tr>
      <w:tr>
        <w:tc>
          <w:tcPr>
            <w:tcW w:type="dxa" w:w="72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0-5</w:t>
            </w:r>
          </w:p>
        </w:tc>
        <w:tc>
          <w:tcPr>
            <w:tcW w:type="dxa" w:w="180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Enter: What counts?</w:t>
            </w:r>
          </w:p>
        </w:tc>
        <w:tc>
          <w:tcPr>
            <w:tcW w:type="dxa" w:w="468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Project six examples. Students silently choose: definitely physical activity, depends, or not physical activity. Take two contrasting justifications before revealing.</w:t>
            </w:r>
          </w:p>
        </w:tc>
        <w:tc>
          <w:tcPr>
            <w:tcW w:type="dxa" w:w="216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Listen for the misconception that only organised sport or hard exercise counts.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5-11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Define and refine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Co-construct a class definition, then show the Australian Government wording. Clarify that activity can be incidental, exercise, sport or strengthening, and can occur at light, moderate or vigorous intensity.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Students complete Workbook p.1 and revise one first response.</w:t>
            </w:r>
          </w:p>
        </w:tc>
      </w:tr>
      <w:tr>
        <w:tc>
          <w:tcPr>
            <w:tcW w:type="dxa" w:w="72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11-23</w:t>
            </w:r>
          </w:p>
        </w:tc>
        <w:tc>
          <w:tcPr>
            <w:tcW w:type="dxa" w:w="180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My movement profile</w:t>
            </w:r>
          </w:p>
        </w:tc>
        <w:tc>
          <w:tcPr>
            <w:tcW w:type="dxa" w:w="468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Model one honest entry: activity, place, frequency, reasons and influence. Students complete Workbook p.2. Offer oral rehearsal before writing.</w:t>
            </w:r>
          </w:p>
        </w:tc>
        <w:tc>
          <w:tcPr>
            <w:tcW w:type="dxa" w:w="216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Conference: ask 'What makes this choice yours?' and 'What might help or limit it?'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23-29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Community alphabet scan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Pairs add activities to the A-Z grid, then star three that could welcome people with different interests, abilities or cultural experiences.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Do not reward volume alone; ask students to justify one starred choice.</w:t>
            </w:r>
          </w:p>
        </w:tc>
      </w:tr>
      <w:tr>
        <w:tc>
          <w:tcPr>
            <w:tcW w:type="dxa" w:w="72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29-43</w:t>
            </w:r>
          </w:p>
        </w:tc>
        <w:tc>
          <w:tcPr>
            <w:tcW w:type="dxa" w:w="180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Cultural evidence jigsaw</w:t>
            </w:r>
          </w:p>
        </w:tc>
        <w:tc>
          <w:tcPr>
            <w:tcW w:type="dxa" w:w="468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Teach the respect protocol. Groups read one evidence card and prepare a 30-second briefing: origin, movement, one community value, one accurate caution. Students then collect evidence from a second group.</w:t>
            </w:r>
          </w:p>
        </w:tc>
        <w:tc>
          <w:tcPr>
            <w:tcW w:type="dxa" w:w="216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Check that Edor is linked to Aurukun and that cultures are named specifically where the source permits.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43-54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Design for belonging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Present the one-sport community-day scenario. Students propose two changes, justify them using evidence from their profile or cards, then exchange feedback: 'This may include more people because...' and 'A barrier still might be...'.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Require an immediate revision in a different-coloured pen or with a star.</w:t>
            </w:r>
          </w:p>
        </w:tc>
      </w:tr>
      <w:tr>
        <w:tc>
          <w:tcPr>
            <w:tcW w:type="dxa" w:w="72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54-60</w:t>
            </w:r>
          </w:p>
        </w:tc>
        <w:tc>
          <w:tcPr>
            <w:tcW w:type="dxa" w:w="180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Exit evidence</w:t>
            </w:r>
          </w:p>
        </w:tc>
        <w:tc>
          <w:tcPr>
            <w:tcW w:type="dxa" w:w="468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Students answer the claim-evidence-reasoning exit prompt. Collect workbooks. Sort responses after class into Ready / Developing / Reteach.</w:t>
            </w:r>
          </w:p>
        </w:tc>
        <w:tc>
          <w:tcPr>
            <w:tcW w:type="dxa" w:w="2160"/>
            <w:shd w:fill="F4F7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Use the sort to decide whether Week 2 needs a short recap on diversity, participation or wellbeing.</w:t>
            </w:r>
          </w:p>
        </w:tc>
      </w:tr>
    </w:tbl>
    <w:p>
      <w:r>
        <w:br w:type="page"/>
      </w:r>
    </w:p>
    <w:p>
      <w:pPr>
        <w:spacing w:after="160"/>
      </w:pPr>
    </w:p>
    <w:p>
      <w:pPr>
        <w:pStyle w:val="Heading1"/>
      </w:pPr>
      <w:r>
        <w:t>Teacher talk and worked model</w:t>
      </w:r>
    </w:p>
    <w:p>
      <w:pPr>
        <w:pStyle w:val="Heading2"/>
      </w:pPr>
      <w:r>
        <w:t>Student-friendly definition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007C83"/>
          <w:left w:val="single" w:sz="10" w:color="007C83"/>
          <w:bottom w:val="single" w:sz="10" w:color="007C83"/>
          <w:right w:val="single" w:sz="10" w:color="007C83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7C83"/>
                <w:sz w:val="18"/>
              </w:rPr>
              <w:t xml:space="preserve">SAY  </w:t>
            </w:r>
            <w:r>
              <w:rPr>
                <w:rFonts w:ascii="Calibri" w:hAnsi="Calibri"/>
                <w:b w:val="0"/>
                <w:i w:val="0"/>
                <w:color w:val="18242F"/>
                <w:sz w:val="21"/>
              </w:rPr>
              <w:t>Physical activity is anything that gets your body moving and uses energy. It includes everyday movement, active travel, exercise, sport, strengthening and cultural movement practices.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/>
          <w:i w:val="0"/>
          <w:color w:val="52606D"/>
          <w:sz w:val="18"/>
        </w:rPr>
        <w:t xml:space="preserve">Source: </w:t>
      </w:r>
      <w:hyperlink r:id="rId11">
        <w:r>
          <w:rPr>
            <w:color w:val="007C83"/>
            <w:u w:val="single"/>
          </w:rPr>
          <w:t>Australian Government - About physical activity</w:t>
        </w:r>
      </w:hyperlink>
    </w:p>
    <w:p>
      <w:pPr>
        <w:pStyle w:val="Heading2"/>
      </w:pPr>
      <w:r>
        <w:t>Model profile entry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DC"/>
          <w:left w:val="single" w:sz="6" w:color="CBD5DC"/>
          <w:bottom w:val="single" w:sz="6" w:color="CBD5DC"/>
          <w:right w:val="single" w:sz="6" w:color="CBD5DC"/>
          <w:insideH w:val="single" w:sz="6" w:color="CBD5DC"/>
          <w:insideV w:val="single" w:sz="6" w:color="CBD5DC"/>
        </w:tblBorders>
      </w:tblPr>
      <w:tblGrid>
        <w:gridCol w:w="1650"/>
        <w:gridCol w:w="1400"/>
        <w:gridCol w:w="1300"/>
        <w:gridCol w:w="2510"/>
        <w:gridCol w:w="2500"/>
      </w:tblGrid>
      <w:tr>
        <w:trPr>
          <w:tblHeader w:val="true"/>
        </w:trP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7C8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Activity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7C8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Where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7C8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How often</w:t>
            </w:r>
          </w:p>
        </w:tc>
        <w:tc>
          <w:tcPr>
            <w:tcW w:type="dxa" w:w="2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7C8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Why I choose it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7C8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What influences my choice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Walking the dog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Local streets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Most afternoons</w:t>
            </w:r>
          </w:p>
        </w:tc>
        <w:tc>
          <w:tcPr>
            <w:tcW w:type="dxa" w:w="2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Time together; fresh air; helps me reset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7"/>
              </w:rPr>
              <w:t>Family routine; free access; weather</w:t>
            </w:r>
          </w:p>
        </w:tc>
      </w:tr>
    </w:tbl>
    <w:p>
      <w:pPr>
        <w:pStyle w:val="Heading2"/>
      </w:pPr>
      <w:r>
        <w:t>Model community claim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C77D18"/>
          <w:left w:val="single" w:sz="10" w:color="C77D18"/>
          <w:bottom w:val="single" w:sz="10" w:color="C77D18"/>
          <w:right w:val="single" w:sz="10" w:color="C77D18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1D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C77D18"/>
                <w:sz w:val="18"/>
              </w:rPr>
              <w:t xml:space="preserve">THINK ALOUD  </w:t>
            </w:r>
            <w:r>
              <w:rPr>
                <w:rFonts w:ascii="Calibri" w:hAnsi="Calibri"/>
                <w:b w:val="0"/>
                <w:i w:val="0"/>
                <w:color w:val="18242F"/>
                <w:sz w:val="21"/>
              </w:rPr>
              <w:t>Valuing different activities can strengthen belonging because people see that movement is not limited to one sport or one type of body. For example, including a gentle tai chi session and a team game gives people different ways to participate. Therefore, more people may feel that the event is for them.</w:t>
            </w:r>
          </w:p>
        </w:tc>
      </w:tr>
    </w:tbl>
    <w:p>
      <w:pPr>
        <w:spacing w:after="0"/>
      </w:pPr>
    </w:p>
    <w:p>
      <w:pPr>
        <w:pStyle w:val="Heading2"/>
      </w:pPr>
      <w:r>
        <w:t>Questions that deepen thinking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Whose interests or needs are visible in this activity? Whose might be missing?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Is a choice personal only, or is it also shaped by family, culture, cost, access, place or ability?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How does your evidence show respect rather than treating a culture as a costume or novelty?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What would participation, belonging or wellbeing look like here?</w:t>
      </w:r>
    </w:p>
    <w:p>
      <w:pPr>
        <w:pStyle w:val="Heading2"/>
      </w:pPr>
      <w:r>
        <w:t>Misconceptions and responses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DC"/>
          <w:left w:val="single" w:sz="6" w:color="CBD5DC"/>
          <w:bottom w:val="single" w:sz="6" w:color="CBD5DC"/>
          <w:right w:val="single" w:sz="6" w:color="CBD5DC"/>
          <w:insideH w:val="single" w:sz="6" w:color="CBD5DC"/>
          <w:insideV w:val="single" w:sz="6" w:color="CBD5DC"/>
        </w:tblBorders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BE7E3"/>
          </w:tcPr>
          <w:p>
            <w:r>
              <w:rPr>
                <w:rFonts w:ascii="Calibri" w:hAnsi="Calibri"/>
                <w:b/>
                <w:i w:val="0"/>
                <w:color w:val="B64C3B"/>
                <w:sz w:val="18"/>
              </w:rPr>
              <w:t>If students say...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BE7E3"/>
          </w:tcPr>
          <w:p>
            <w:r>
              <w:rPr>
                <w:rFonts w:ascii="Calibri" w:hAnsi="Calibri"/>
                <w:b/>
                <w:i w:val="0"/>
                <w:color w:val="B64C3B"/>
                <w:sz w:val="18"/>
              </w:rPr>
              <w:t>Respond with...</w:t>
            </w:r>
          </w:p>
        </w:tc>
      </w:tr>
      <w:tr>
        <w:tc>
          <w:tcPr>
            <w:tcW w:type="dxa" w:w="390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Only sport counts.</w:t>
            </w:r>
          </w:p>
        </w:tc>
        <w:tc>
          <w:tcPr>
            <w:tcW w:type="dxa" w:w="546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Test everyday movement, active travel, dance and cultural games against the definition.</w:t>
            </w:r>
          </w:p>
        </w:tc>
      </w:tr>
      <w:tr>
        <w:tc>
          <w:tcPr>
            <w:tcW w:type="dxa" w:w="390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People choose freely, so access does not matter.</w:t>
            </w:r>
          </w:p>
        </w:tc>
        <w:tc>
          <w:tcPr>
            <w:tcW w:type="dxa" w:w="546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Ask how cost, transport, facilities, safety, family and ability shape available choices.</w:t>
            </w:r>
          </w:p>
        </w:tc>
      </w:tr>
      <w:tr>
        <w:tc>
          <w:tcPr>
            <w:tcW w:type="dxa" w:w="390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One game represents all First Nations peoples.</w:t>
            </w:r>
          </w:p>
        </w:tc>
        <w:tc>
          <w:tcPr>
            <w:tcW w:type="dxa" w:w="546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Name the specific community or region and emphasise the diversity of Aboriginal and Torres Strait Islander cultures.</w:t>
            </w:r>
          </w:p>
        </w:tc>
      </w:tr>
      <w:tr>
        <w:tc>
          <w:tcPr>
            <w:tcW w:type="dxa" w:w="390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Diversity is just having many options.</w:t>
            </w:r>
          </w:p>
        </w:tc>
        <w:tc>
          <w:tcPr>
            <w:tcW w:type="dxa" w:w="546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Add the valuing test: are differences respected, included and used to shape decisions?</w:t>
            </w:r>
          </w:p>
        </w:tc>
      </w:tr>
    </w:tbl>
    <w:p>
      <w:r>
        <w:br w:type="page"/>
      </w:r>
    </w:p>
    <w:p>
      <w:pPr>
        <w:pStyle w:val="Heading1"/>
      </w:pPr>
      <w:r>
        <w:t>Differentiation without changing the goal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07C83"/>
          <w:left w:val="single" w:sz="8" w:color="007C83"/>
          <w:bottom w:val="single" w:sz="8" w:color="007C83"/>
          <w:right w:val="single" w:sz="8" w:color="007C83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r>
              <w:rPr>
                <w:rFonts w:ascii="Calibri" w:hAnsi="Calibri"/>
                <w:b/>
                <w:i w:val="0"/>
                <w:color w:val="17324D"/>
                <w:sz w:val="22"/>
              </w:rPr>
              <w:t>Support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Offer the word bank: fun, friendship, fitness, family, culture, calm, challenge, cost, access, safety, belonging.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Allow the personal profile to be dictated, drawn or completed with an adult scribe.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Give one evidence card with key sentences highlighted and use the oral briefing before written notes.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Use the claim frame: Valuing ___ can improve ___ because ___. For example, ___.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07C83"/>
          <w:left w:val="single" w:sz="8" w:color="007C83"/>
          <w:bottom w:val="single" w:sz="8" w:color="007C83"/>
          <w:right w:val="single" w:sz="8" w:color="007C83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1D8"/>
          </w:tcPr>
          <w:p>
            <w:r>
              <w:rPr>
                <w:rFonts w:ascii="Calibri" w:hAnsi="Calibri"/>
                <w:b/>
                <w:i w:val="0"/>
                <w:color w:val="17324D"/>
                <w:sz w:val="22"/>
              </w:rPr>
              <w:t>ICP / accessible pathway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Use photo, symbol, spoken or partner-assisted responses while retaining the same concept: choices, evidence and community inclusion.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Offer seated, low-impact and non-competitive examples without presenting them as lesser alternatives.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Pre-teach origin, community, movement and belonging with four icons; let the student select evidence and explain orally.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Follow documented student adjustments and sensory/movement safety plans.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64C3B"/>
          <w:left w:val="single" w:sz="8" w:color="B64C3B"/>
          <w:bottom w:val="single" w:sz="8" w:color="B64C3B"/>
          <w:right w:val="single" w:sz="8" w:color="B64C3B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BE7E3"/>
          </w:tcPr>
          <w:p>
            <w:r>
              <w:rPr>
                <w:rFonts w:ascii="Calibri" w:hAnsi="Calibri"/>
                <w:b/>
                <w:i w:val="0"/>
                <w:color w:val="17324D"/>
                <w:sz w:val="22"/>
              </w:rPr>
              <w:t>Extend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Ask whether adding options is enough if cost, language, transport or confidence still blocks participation.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Require a counterexample: when might an activity with diverse participants still fail to value diversity?</w:t>
            </w:r>
          </w:p>
          <w:p>
            <w:pPr>
              <w:pStyle w:val="ListBullet"/>
              <w:spacing w:after="60"/>
            </w:pPr>
            <w:r>
              <w:rPr>
                <w:rFonts w:ascii="Calibri" w:hAnsi="Calibri"/>
                <w:b w:val="0"/>
                <w:i w:val="0"/>
                <w:color w:val="18242F"/>
                <w:sz w:val="19"/>
              </w:rPr>
              <w:t>Ask students to distinguish cultural appreciation, accurate attribution and tokenism in the proposed event.</w:t>
            </w:r>
          </w:p>
        </w:tc>
      </w:tr>
    </w:tbl>
    <w:p>
      <w:pPr>
        <w:spacing w:after="0"/>
      </w:pPr>
    </w:p>
    <w:p>
      <w:pPr>
        <w:pStyle w:val="Heading1"/>
      </w:pPr>
      <w:r>
        <w:t>Safety and cultural responsibility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Use only soft equipment for demonstrations; define boundaries; prohibit body contact; keep bats below waist height and balls below knee height for Dabi.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Do not run Edor without a large clear area and a specific risk check. The core lesson can be completed through evidence cards without game play.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Present the Yulunga activities as researched and adapted school versions, not as a complete representation of a living culture.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Follow the ASC recommendation to inform or invite local Elders or First Nations groups where these games are used in a school program.</w:t>
      </w:r>
    </w:p>
    <w:p>
      <w:pPr>
        <w:pStyle w:val="ListBullet"/>
        <w:spacing w:after="80" w:line="276" w:lineRule="auto"/>
        <w:ind w:left="720" w:hanging="360"/>
      </w:pPr>
      <w:r>
        <w:rPr>
          <w:rFonts w:ascii="Calibri" w:hAnsi="Calibri"/>
          <w:b w:val="0"/>
          <w:i w:val="0"/>
          <w:color w:val="18242F"/>
          <w:sz w:val="21"/>
        </w:rPr>
        <w:t>Avoid asking students to disclose culture, disability, family finances or health information. Personal-profile responses may remain private.</w:t>
      </w:r>
    </w:p>
    <w:p>
      <w:r>
        <w:br w:type="page"/>
      </w:r>
    </w:p>
    <w:p>
      <w:pPr>
        <w:pStyle w:val="Heading1"/>
      </w:pPr>
      <w:r>
        <w:t>Formative assessment sort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DC"/>
          <w:left w:val="single" w:sz="6" w:color="CBD5DC"/>
          <w:bottom w:val="single" w:sz="6" w:color="CBD5DC"/>
          <w:right w:val="single" w:sz="6" w:color="CBD5DC"/>
          <w:insideH w:val="single" w:sz="6" w:color="CBD5DC"/>
          <w:insideV w:val="single" w:sz="6" w:color="CBD5DC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DF3F1"/>
          </w:tcPr>
          <w:p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Ready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1D8"/>
          </w:tcPr>
          <w:p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Developing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BE7E3"/>
          </w:tcPr>
          <w:p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Reteach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Defines PA; uses specific evidence; links valuing diversity to participation, belonging or wellbeing.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Gives a relevant example but the because link is general or evidence is incomplete.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18242F"/>
                <w:sz w:val="18"/>
              </w:rPr>
              <w:t>Lists different activities only; confuses diversity with wellbeing; makes an inaccurate cultural claim.</w:t>
            </w:r>
          </w:p>
        </w:tc>
      </w:tr>
    </w:tbl>
    <w:p>
      <w:pPr>
        <w:pStyle w:val="Heading1"/>
      </w:pPr>
      <w:r>
        <w:t>Source notes</w:t>
      </w:r>
    </w:p>
    <w:p>
      <w:r>
        <w:rPr>
          <w:rFonts w:ascii="Calibri" w:hAnsi="Calibri"/>
          <w:b/>
          <w:i w:val="0"/>
          <w:color w:val="52606D"/>
          <w:sz w:val="18"/>
        </w:rPr>
        <w:t xml:space="preserve">Australian Sports Commission: </w:t>
      </w:r>
      <w:hyperlink r:id="rId12">
        <w:r>
          <w:rPr>
            <w:color w:val="007C83"/>
            <w:u w:val="single"/>
          </w:rPr>
          <w:t>Yulunga: Traditional Indigenous Games</w:t>
        </w:r>
      </w:hyperlink>
    </w:p>
    <w:p>
      <w:r>
        <w:rPr>
          <w:rFonts w:ascii="Calibri" w:hAnsi="Calibri"/>
          <w:b/>
          <w:i w:val="0"/>
          <w:color w:val="52606D"/>
          <w:sz w:val="18"/>
        </w:rPr>
        <w:t xml:space="preserve">Australian Government: </w:t>
      </w:r>
      <w:hyperlink r:id="rId11">
        <w:r>
          <w:rPr>
            <w:color w:val="007C83"/>
            <w:u w:val="single"/>
          </w:rPr>
          <w:t>About physical activity</w:t>
        </w:r>
      </w:hyperlink>
    </w:p>
    <w:p>
      <w:r>
        <w:rPr>
          <w:rFonts w:ascii="Calibri" w:hAnsi="Calibri"/>
          <w:b/>
          <w:i w:val="0"/>
          <w:color w:val="52606D"/>
          <w:sz w:val="18"/>
        </w:rPr>
        <w:t xml:space="preserve">National Center for Complementary and Integrative Health: </w:t>
      </w:r>
      <w:hyperlink r:id="rId13">
        <w:r>
          <w:rPr>
            <w:color w:val="007C83"/>
            <w:u w:val="single"/>
          </w:rPr>
          <w:t>Tai Chi: What You Need To Know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/>
        <w:i w:val="0"/>
        <w:color w:val="52606D"/>
        <w:sz w:val="16"/>
      </w:rPr>
      <w:t>LET'S ALL BE ACTIVE  |  YEAR 6 HEALTH  |  WEEK 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i w:val="0"/>
        <w:color w:val="007C83"/>
        <w:sz w:val="16"/>
      </w:rPr>
      <w:t>TEACHER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824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7C8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52606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health.gov.au/topics/physical-activity/about-physical-activity" TargetMode="External"/><Relationship Id="rId12" Type="http://schemas.openxmlformats.org/officeDocument/2006/relationships/hyperlink" Target="https://www.ausport.gov.au/clearinghouse/research/archive/asc/yulunga-games" TargetMode="External"/><Relationship Id="rId13" Type="http://schemas.openxmlformats.org/officeDocument/2006/relationships/hyperlink" Target="https://www.nccih.nih.gov/health/tai-chi-what-you-need-to-kn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