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0114" w:rsidRDefault="00697793" w:rsidP="00EF30C2">
      <w:pPr>
        <w:spacing w:after="240"/>
        <w:rPr>
          <w:rFonts w:ascii="Arial" w:hAnsi="Arial" w:cs="Arial"/>
          <w:b/>
          <w:sz w:val="32"/>
          <w:szCs w:val="28"/>
        </w:rPr>
      </w:pPr>
      <w:r w:rsidRPr="00EF30C2">
        <w:rPr>
          <w:rFonts w:ascii="Arial" w:hAnsi="Arial" w:cs="Arial"/>
          <w:b/>
          <w:sz w:val="32"/>
          <w:szCs w:val="28"/>
        </w:rPr>
        <w:t>Other renewable energy sources</w:t>
      </w:r>
    </w:p>
    <w:p w:rsidR="00EF30C2" w:rsidRPr="00EF30C2" w:rsidRDefault="00EF30C2" w:rsidP="00EF30C2">
      <w:pPr>
        <w:shd w:val="clear" w:color="auto" w:fill="D3EC9E" w:themeFill="accent2"/>
        <w:spacing w:before="120" w:after="120" w:line="300" w:lineRule="atLeast"/>
        <w:rPr>
          <w:rFonts w:ascii="Arial" w:hAnsi="Arial" w:cs="Arial"/>
          <w:b/>
        </w:rPr>
      </w:pPr>
      <w:r w:rsidRPr="00EF30C2">
        <w:rPr>
          <w:rFonts w:ascii="Arial" w:hAnsi="Arial" w:cs="Arial"/>
          <w:b/>
        </w:rPr>
        <w:t>Hydro energy</w:t>
      </w:r>
    </w:p>
    <w:p w:rsidR="00EF30C2" w:rsidRPr="00EF30C2" w:rsidRDefault="00EF30C2" w:rsidP="00EF30C2">
      <w:pPr>
        <w:spacing w:before="120" w:after="120" w:line="300" w:lineRule="atLeast"/>
        <w:rPr>
          <w:rFonts w:ascii="Arial" w:hAnsi="Arial" w:cs="Arial"/>
        </w:rPr>
      </w:pPr>
      <w:r w:rsidRPr="00EF30C2">
        <w:rPr>
          <w:rFonts w:ascii="Arial" w:hAnsi="Arial" w:cs="Arial"/>
          <w:color w:val="2F2F2F"/>
          <w:shd w:val="clear" w:color="auto" w:fill="FFFFFF"/>
        </w:rPr>
        <w:t>Hydroelectricity is electrical energy generated when falling water from reservoirs or flowing water from rivers, streams or waterfalls (run of river) is channelled through water turbines. The pressure of the flowing water on the turbine blades causes the shaft to rotate and the rotating shaft drives an electrical generator which converts the motion of the shaft into electrical energy. Most commonly, water is dammed and the flow of water out of the dam to drive the turbines is controlled by the opening or closing of sluices, gates or pipes. This is commonly called penstock.</w:t>
      </w:r>
    </w:p>
    <w:p w:rsidR="00EF30C2" w:rsidRPr="00EF30C2" w:rsidRDefault="00EF30C2" w:rsidP="00EF30C2">
      <w:pPr>
        <w:spacing w:before="120" w:after="120" w:line="300" w:lineRule="atLeast"/>
        <w:rPr>
          <w:rFonts w:ascii="Arial" w:hAnsi="Arial" w:cs="Arial"/>
        </w:rPr>
      </w:pPr>
      <w:r w:rsidRPr="00EF30C2">
        <w:rPr>
          <w:rFonts w:ascii="Arial" w:hAnsi="Arial" w:cs="Arial"/>
          <w:color w:val="2F2F2F"/>
          <w:shd w:val="clear" w:color="auto" w:fill="FFFFFF"/>
        </w:rPr>
        <w:t>Hydropower is the most advanced and mature renewable energy technology and provides some level of electricity generation in more than 160 countries worldwide. Hydro is a renewable energy source and has the advantages of low greenhouse gas emissions, low operating costs, and a high ramp rate (quick response to electricity demand), enabling it to be used for either base or peak load electricity generation, or both.</w:t>
      </w:r>
      <w:r w:rsidRPr="00EF30C2">
        <w:rPr>
          <w:rFonts w:ascii="Arial" w:hAnsi="Arial" w:cs="Arial"/>
        </w:rPr>
        <w:t xml:space="preserve"> </w:t>
      </w:r>
    </w:p>
    <w:p w:rsidR="00EF30C2" w:rsidRPr="00EF30C2" w:rsidRDefault="00EF30C2" w:rsidP="00EF30C2">
      <w:pPr>
        <w:spacing w:before="120" w:after="120" w:line="300" w:lineRule="atLeast"/>
        <w:rPr>
          <w:rFonts w:ascii="Arial" w:hAnsi="Arial" w:cs="Arial"/>
          <w:b/>
        </w:rPr>
      </w:pPr>
      <w:r w:rsidRPr="00EF30C2">
        <w:rPr>
          <w:rFonts w:ascii="Arial" w:hAnsi="Arial" w:cs="Arial"/>
          <w:b/>
        </w:rPr>
        <w:t>Australia's hydro energy resources</w:t>
      </w:r>
    </w:p>
    <w:p w:rsidR="00EF30C2" w:rsidRPr="00EF30C2" w:rsidRDefault="00EF30C2" w:rsidP="00EF30C2">
      <w:pPr>
        <w:spacing w:before="120" w:after="120" w:line="300" w:lineRule="atLeast"/>
        <w:rPr>
          <w:rFonts w:ascii="Arial" w:hAnsi="Arial" w:cs="Arial"/>
          <w:color w:val="2F2F2F"/>
          <w:shd w:val="clear" w:color="auto" w:fill="FFFFFF"/>
        </w:rPr>
      </w:pPr>
      <w:r w:rsidRPr="00EF30C2">
        <w:rPr>
          <w:rFonts w:ascii="Arial" w:hAnsi="Arial" w:cs="Arial"/>
          <w:color w:val="2F2F2F"/>
          <w:shd w:val="clear" w:color="auto" w:fill="FFFFFF"/>
        </w:rPr>
        <w:t>Australia is the driest inhabited continent on earth, with over 80 per cent of its landmass receiving an annual average rainfall of less than 600 mm per year and 50 per cent less than 300 mm per year. There is also high variability in rainfall, evaporation rates and temperatures between years, resulting in Australia having very limited and variable surface water resources. Much of Australia's economically feasible hydro energy resource has already been harnessed.</w:t>
      </w:r>
    </w:p>
    <w:p w:rsidR="00EF30C2" w:rsidRPr="00EF30C2" w:rsidRDefault="00EF30C2" w:rsidP="00EF30C2">
      <w:pPr>
        <w:spacing w:before="120" w:after="120" w:line="300" w:lineRule="atLeast"/>
        <w:rPr>
          <w:rFonts w:ascii="Arial" w:hAnsi="Arial" w:cs="Arial"/>
          <w:color w:val="2F2F2F"/>
          <w:shd w:val="clear" w:color="auto" w:fill="FFFFFF"/>
        </w:rPr>
      </w:pPr>
      <w:r w:rsidRPr="00EF30C2">
        <w:rPr>
          <w:rFonts w:ascii="Arial" w:hAnsi="Arial" w:cs="Arial"/>
          <w:color w:val="2F2F2F"/>
          <w:shd w:val="clear" w:color="auto" w:fill="FFFFFF"/>
        </w:rPr>
        <w:t>Australia's hydro energy resources are described in more detail in the</w:t>
      </w:r>
      <w:r w:rsidR="007C749E">
        <w:rPr>
          <w:rFonts w:ascii="Arial" w:hAnsi="Arial" w:cs="Arial"/>
          <w:color w:val="2F2F2F"/>
          <w:shd w:val="clear" w:color="auto" w:fill="FFFFFF"/>
        </w:rPr>
        <w:t xml:space="preserve"> </w:t>
      </w:r>
      <w:r w:rsidRPr="00EF30C2">
        <w:rPr>
          <w:rFonts w:ascii="Arial" w:hAnsi="Arial" w:cs="Arial"/>
          <w:color w:val="2F2F2F"/>
        </w:rPr>
        <w:t>Australian Energy Resource Assessment</w:t>
      </w:r>
      <w:r w:rsidRPr="00EF30C2">
        <w:rPr>
          <w:rFonts w:ascii="Arial" w:hAnsi="Arial" w:cs="Arial"/>
          <w:color w:val="2F2F2F"/>
          <w:shd w:val="clear" w:color="auto" w:fill="FFFFFF"/>
        </w:rPr>
        <w:t xml:space="preserve"> </w:t>
      </w:r>
      <w:r w:rsidRPr="00EF30C2">
        <w:rPr>
          <w:rFonts w:ascii="Arial" w:hAnsi="Arial" w:cs="Arial"/>
          <w:color w:val="A6A6A6" w:themeColor="background1" w:themeShade="A6"/>
          <w:shd w:val="clear" w:color="auto" w:fill="FFFFFF"/>
        </w:rPr>
        <w:t>http://www.ga.gov.au/metadata-gateway/metadata/record/gcat_70142</w:t>
      </w:r>
      <w:r w:rsidRPr="00EF30C2">
        <w:rPr>
          <w:rFonts w:ascii="Arial" w:hAnsi="Arial" w:cs="Arial"/>
          <w:color w:val="2F2F2F"/>
          <w:shd w:val="clear" w:color="auto" w:fill="FFFFFF"/>
        </w:rPr>
        <w:t>, which provides an integrated scientific and economic assessment of all Australia's energy resources and factors influencing their development and use to 2030.</w:t>
      </w:r>
    </w:p>
    <w:p w:rsidR="00EF30C2" w:rsidRPr="00EF30C2" w:rsidRDefault="00EF30C2" w:rsidP="00EF30C2">
      <w:pPr>
        <w:spacing w:before="120" w:after="120" w:line="300" w:lineRule="atLeast"/>
        <w:rPr>
          <w:rFonts w:ascii="Arial" w:hAnsi="Arial" w:cs="Arial"/>
          <w:color w:val="2F2F2F"/>
          <w:shd w:val="clear" w:color="auto" w:fill="FFFFFF"/>
        </w:rPr>
      </w:pPr>
      <w:r w:rsidRPr="00EF30C2">
        <w:rPr>
          <w:rFonts w:ascii="Arial" w:hAnsi="Arial" w:cs="Arial"/>
          <w:color w:val="2F2F2F"/>
          <w:shd w:val="clear" w:color="auto" w:fill="FFFFFF"/>
        </w:rPr>
        <w:t xml:space="preserve">Australia has more than 100 operating hydroelectric power stations with total installed capacity of about 7800 megawatts (MW). These are located in the areas of highest rainfall and elevation and are mostly in New South Wales (55 per cent) and Tasmania (29 per cent). The Snowy Mountains Hydro-electric Scheme, with a capacity of 3800MW, is Australia's largest hydro scheme and is one of the most complex integrated water and hydroelectricity schemes in the world. The Scheme collects and stores the water that would normally flow east to the coast and diverts it through trans-mountain tunnels and power stations. The water is then released into the Murray and Murrumbidgee Rivers for irrigation. The Snowy Mountains Scheme comprises sixteen major dams, seven power stations (two of which are underground), a pumping station, </w:t>
      </w:r>
      <w:proofErr w:type="gramStart"/>
      <w:r w:rsidRPr="00EF30C2">
        <w:rPr>
          <w:rFonts w:ascii="Arial" w:hAnsi="Arial" w:cs="Arial"/>
          <w:color w:val="2F2F2F"/>
          <w:shd w:val="clear" w:color="auto" w:fill="FFFFFF"/>
        </w:rPr>
        <w:t>145km</w:t>
      </w:r>
      <w:proofErr w:type="gramEnd"/>
      <w:r w:rsidRPr="00EF30C2">
        <w:rPr>
          <w:rFonts w:ascii="Arial" w:hAnsi="Arial" w:cs="Arial"/>
          <w:color w:val="2F2F2F"/>
          <w:shd w:val="clear" w:color="auto" w:fill="FFFFFF"/>
        </w:rPr>
        <w:t xml:space="preserve"> of inter-connected trans-mountain tunnels and 80km of aqueducts. The Snowy Mountains Hydro-electric Scheme accounts for around half of Australia's total hydroelectricity generation capacity and provides base load and peak load power to the eastern mainland grid of Australia.</w:t>
      </w:r>
    </w:p>
    <w:p w:rsidR="00EF30C2" w:rsidRPr="00EF30C2" w:rsidRDefault="00EF30C2" w:rsidP="00EF30C2">
      <w:pPr>
        <w:spacing w:before="120" w:after="120" w:line="300" w:lineRule="atLeast"/>
        <w:rPr>
          <w:rFonts w:ascii="Arial" w:hAnsi="Arial" w:cs="Arial"/>
          <w:b/>
        </w:rPr>
      </w:pPr>
      <w:r w:rsidRPr="00EF30C2">
        <w:rPr>
          <w:rFonts w:ascii="Arial" w:hAnsi="Arial" w:cs="Arial"/>
          <w:color w:val="2F2F2F"/>
          <w:shd w:val="clear" w:color="auto" w:fill="FFFFFF"/>
        </w:rPr>
        <w:t xml:space="preserve">Hydro energy is particularly important in Tasmania where it provides much of the state's electricity. The Tasmanian integrated hydropower scheme harnesses hydro energy from six major water catchments and involves 50 major dams, numerous lakes and 29 power stations with a total capacity of over 2600MW. The scheme provides base and peak load power to the National Electricity Market, firstly to Tasmania and then to the Australian network through </w:t>
      </w:r>
      <w:proofErr w:type="spellStart"/>
      <w:r w:rsidRPr="00EF30C2">
        <w:rPr>
          <w:rFonts w:ascii="Arial" w:hAnsi="Arial" w:cs="Arial"/>
          <w:color w:val="2F2F2F"/>
          <w:shd w:val="clear" w:color="auto" w:fill="FFFFFF"/>
        </w:rPr>
        <w:t>Basslink</w:t>
      </w:r>
      <w:proofErr w:type="spellEnd"/>
      <w:r w:rsidRPr="00EF30C2">
        <w:rPr>
          <w:rFonts w:ascii="Arial" w:hAnsi="Arial" w:cs="Arial"/>
          <w:color w:val="2F2F2F"/>
          <w:shd w:val="clear" w:color="auto" w:fill="FFFFFF"/>
        </w:rPr>
        <w:t>, the undersea interconnector which runs under Bass Strait. There are also hydroelectricity schemes in north-east Victoria, Queensland, Western Australia, and a mini-hydroelectricity project in South Australia.</w:t>
      </w:r>
    </w:p>
    <w:p w:rsidR="00EF30C2" w:rsidRDefault="00EF30C2">
      <w:pPr>
        <w:rPr>
          <w:rFonts w:ascii="Arial" w:hAnsi="Arial" w:cs="Arial"/>
          <w:b/>
        </w:rPr>
      </w:pPr>
      <w:r>
        <w:rPr>
          <w:rFonts w:ascii="Arial" w:hAnsi="Arial" w:cs="Arial"/>
          <w:b/>
        </w:rPr>
        <w:br w:type="page"/>
      </w:r>
    </w:p>
    <w:p w:rsidR="00EF30C2" w:rsidRPr="00EF30C2" w:rsidRDefault="00EF30C2" w:rsidP="00EF30C2">
      <w:pPr>
        <w:shd w:val="clear" w:color="auto" w:fill="D3EC9E" w:themeFill="accent2"/>
        <w:spacing w:before="120" w:after="120" w:line="300" w:lineRule="atLeast"/>
        <w:rPr>
          <w:rFonts w:ascii="Arial" w:hAnsi="Arial" w:cs="Arial"/>
          <w:b/>
        </w:rPr>
      </w:pPr>
      <w:r w:rsidRPr="00EF30C2">
        <w:rPr>
          <w:rFonts w:ascii="Arial" w:hAnsi="Arial" w:cs="Arial"/>
          <w:b/>
        </w:rPr>
        <w:lastRenderedPageBreak/>
        <w:t>Solar energy</w:t>
      </w:r>
    </w:p>
    <w:p w:rsidR="00EF30C2" w:rsidRPr="00EF30C2" w:rsidRDefault="00EF30C2" w:rsidP="00EF30C2">
      <w:pPr>
        <w:spacing w:before="120" w:after="120" w:line="300" w:lineRule="atLeast"/>
        <w:rPr>
          <w:rFonts w:ascii="Arial" w:hAnsi="Arial" w:cs="Arial"/>
          <w:color w:val="2F2F2F"/>
          <w:shd w:val="clear" w:color="auto" w:fill="FFFFFF"/>
        </w:rPr>
      </w:pPr>
      <w:r w:rsidRPr="00EF30C2">
        <w:rPr>
          <w:rFonts w:ascii="Arial" w:hAnsi="Arial" w:cs="Arial"/>
          <w:color w:val="2F2F2F"/>
          <w:shd w:val="clear" w:color="auto" w:fill="FFFFFF"/>
        </w:rPr>
        <w:t>Solar power is generated when energy from the sun (sunlight) is converted into electricity or used to heat air, water, or other fluids. There are two main types of solar energy technologies:</w:t>
      </w:r>
    </w:p>
    <w:p w:rsidR="00EF30C2" w:rsidRPr="00EF30C2" w:rsidRDefault="00EF30C2" w:rsidP="00EF30C2">
      <w:pPr>
        <w:numPr>
          <w:ilvl w:val="0"/>
          <w:numId w:val="3"/>
        </w:numPr>
        <w:shd w:val="clear" w:color="auto" w:fill="FFFFFF"/>
        <w:spacing w:before="120" w:after="120" w:line="300" w:lineRule="atLeast"/>
        <w:rPr>
          <w:rFonts w:ascii="Arial" w:eastAsia="Times New Roman" w:hAnsi="Arial" w:cs="Arial"/>
          <w:color w:val="2F2F2F"/>
        </w:rPr>
      </w:pPr>
      <w:r w:rsidRPr="00EF30C2">
        <w:rPr>
          <w:rFonts w:ascii="Arial" w:eastAsia="Times New Roman" w:hAnsi="Arial" w:cs="Arial"/>
          <w:color w:val="2F2F2F"/>
        </w:rPr>
        <w:t>Solar thermal is the conversion of solar radiation into thermal energy (heat). Thermal energy carried by air, water, or other fluid is commonly used directly, for space heating, or to generate electricity using steam and turbines. Solar thermal is commonly used for hot water systems. Solar thermal electricity, also known as concentrating solar power, is typically designed for large scale power generation.</w:t>
      </w:r>
    </w:p>
    <w:p w:rsidR="00EF30C2" w:rsidRPr="00EF30C2" w:rsidRDefault="00EF30C2" w:rsidP="00EF30C2">
      <w:pPr>
        <w:numPr>
          <w:ilvl w:val="0"/>
          <w:numId w:val="3"/>
        </w:numPr>
        <w:shd w:val="clear" w:color="auto" w:fill="FFFFFF"/>
        <w:spacing w:before="120" w:after="120" w:line="300" w:lineRule="atLeast"/>
        <w:rPr>
          <w:rFonts w:ascii="Arial" w:hAnsi="Arial" w:cs="Arial"/>
          <w:color w:val="2F2F2F"/>
        </w:rPr>
      </w:pPr>
      <w:r w:rsidRPr="00EF30C2">
        <w:rPr>
          <w:rFonts w:ascii="Arial" w:hAnsi="Arial" w:cs="Arial"/>
          <w:color w:val="2F2F2F"/>
        </w:rPr>
        <w:t>Solar photovoltaic (PV) converts sunlight directly into electricity using photovoltaic cells. PV systems can be installed on rooftops, integrated into building designs and vehicles, or scaled up to megawatt scale power plants. PV systems can also be used in conjunction with concentrating mirrors or lenses for large scale centralised power.</w:t>
      </w:r>
    </w:p>
    <w:p w:rsidR="00EF30C2" w:rsidRPr="00EF30C2" w:rsidRDefault="00EF30C2" w:rsidP="00EF30C2">
      <w:pPr>
        <w:spacing w:before="120" w:after="120" w:line="300" w:lineRule="atLeast"/>
        <w:rPr>
          <w:rFonts w:ascii="Arial" w:hAnsi="Arial" w:cs="Arial"/>
        </w:rPr>
      </w:pPr>
      <w:r w:rsidRPr="00EF30C2">
        <w:rPr>
          <w:rFonts w:ascii="Arial" w:hAnsi="Arial" w:cs="Arial"/>
          <w:color w:val="2F2F2F"/>
          <w:shd w:val="clear" w:color="auto" w:fill="FFFFFF"/>
        </w:rPr>
        <w:t>Solar thermal and PV technology can also be combined into a single system that generates both heat and electricity.</w:t>
      </w:r>
      <w:r w:rsidRPr="00EF30C2">
        <w:rPr>
          <w:rFonts w:ascii="Arial" w:hAnsi="Arial" w:cs="Arial"/>
        </w:rPr>
        <w:t xml:space="preserve"> </w:t>
      </w:r>
    </w:p>
    <w:p w:rsidR="00EF30C2" w:rsidRPr="00EF30C2" w:rsidRDefault="00EF30C2" w:rsidP="00EF30C2">
      <w:pPr>
        <w:spacing w:before="120" w:after="120" w:line="300" w:lineRule="atLeast"/>
        <w:rPr>
          <w:rFonts w:ascii="Arial" w:hAnsi="Arial" w:cs="Arial"/>
          <w:b/>
        </w:rPr>
      </w:pPr>
      <w:r w:rsidRPr="00EF30C2">
        <w:rPr>
          <w:rFonts w:ascii="Arial" w:hAnsi="Arial" w:cs="Arial"/>
          <w:b/>
        </w:rPr>
        <w:t>Australia's solar energy resources and production</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shd w:val="clear" w:color="auto" w:fill="FFFFFF"/>
        </w:rPr>
      </w:pPr>
      <w:r w:rsidRPr="00EF30C2">
        <w:rPr>
          <w:rFonts w:ascii="Arial" w:eastAsiaTheme="minorEastAsia" w:hAnsi="Arial" w:cs="Arial"/>
          <w:color w:val="2F2F2F"/>
          <w:sz w:val="22"/>
          <w:szCs w:val="22"/>
          <w:shd w:val="clear" w:color="auto" w:fill="FFFFFF"/>
        </w:rPr>
        <w:t>The Australian continent has the highest solar radiation per square metre of any continent and consequently some of the best solar energy resource in the world. The regions with the highest solar radiation are the desert regions in the northwest and centre of the continent.</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shd w:val="clear" w:color="auto" w:fill="FFFFFF"/>
        </w:rPr>
      </w:pPr>
      <w:r w:rsidRPr="00EF30C2">
        <w:rPr>
          <w:rFonts w:ascii="Arial" w:eastAsiaTheme="minorEastAsia" w:hAnsi="Arial" w:cs="Arial"/>
          <w:color w:val="2F2F2F"/>
          <w:sz w:val="22"/>
          <w:szCs w:val="22"/>
          <w:shd w:val="clear" w:color="auto" w:fill="FFFFFF"/>
        </w:rPr>
        <w:t>Australia's energy resources, including solar energy resources, and the factors impacting on the development and adoption of the various energy resources to 2030 are outlined in the</w:t>
      </w:r>
      <w:r w:rsidR="007C749E">
        <w:rPr>
          <w:rFonts w:ascii="Arial" w:eastAsiaTheme="minorEastAsia" w:hAnsi="Arial" w:cs="Arial"/>
          <w:color w:val="2F2F2F"/>
          <w:sz w:val="22"/>
          <w:szCs w:val="22"/>
          <w:shd w:val="clear" w:color="auto" w:fill="FFFFFF"/>
        </w:rPr>
        <w:t xml:space="preserve"> </w:t>
      </w:r>
      <w:bookmarkStart w:id="0" w:name="_GoBack"/>
      <w:bookmarkEnd w:id="0"/>
      <w:r w:rsidRPr="00EF30C2">
        <w:rPr>
          <w:rFonts w:ascii="Arial" w:eastAsiaTheme="minorEastAsia" w:hAnsi="Arial" w:cs="Arial"/>
          <w:color w:val="2F2F2F"/>
          <w:sz w:val="22"/>
          <w:szCs w:val="22"/>
          <w:shd w:val="clear" w:color="auto" w:fill="FFFFFF"/>
        </w:rPr>
        <w:t xml:space="preserve">Australian Energy Resource Assessment </w:t>
      </w:r>
      <w:r w:rsidRPr="00EF30C2">
        <w:rPr>
          <w:rFonts w:ascii="Arial" w:eastAsiaTheme="minorEastAsia" w:hAnsi="Arial" w:cs="Arial"/>
          <w:color w:val="A6A6A6" w:themeColor="background1" w:themeShade="A6"/>
          <w:sz w:val="22"/>
          <w:szCs w:val="22"/>
          <w:shd w:val="clear" w:color="auto" w:fill="FFFFFF"/>
        </w:rPr>
        <w:t>http://www.ga.gov.au/metadata-gateway/metadata/record/gcat_70142</w:t>
      </w:r>
      <w:r w:rsidRPr="00EF30C2">
        <w:rPr>
          <w:rFonts w:ascii="Arial" w:eastAsiaTheme="minorEastAsia" w:hAnsi="Arial" w:cs="Arial"/>
          <w:color w:val="2F2F2F"/>
          <w:sz w:val="22"/>
          <w:szCs w:val="22"/>
          <w:shd w:val="clear" w:color="auto" w:fill="FFFFFF"/>
        </w:rPr>
        <w:t>.</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shd w:val="clear" w:color="auto" w:fill="FFFFFF"/>
        </w:rPr>
      </w:pPr>
      <w:r w:rsidRPr="00EF30C2">
        <w:rPr>
          <w:rFonts w:ascii="Arial" w:eastAsiaTheme="minorEastAsia" w:hAnsi="Arial" w:cs="Arial"/>
          <w:color w:val="2F2F2F"/>
          <w:sz w:val="22"/>
          <w:szCs w:val="22"/>
          <w:shd w:val="clear" w:color="auto" w:fill="FFFFFF"/>
        </w:rPr>
        <w:t>Australia receives an average of 58 million PJ of solar radiation per year, approximately 10 000 times larger than its total energy consumption. However, Australia's current use of solar energy is low with solar energy accounting for only about 0.1 per cent of Australia's total primary energy consumption. The most common use of solar energy is solar thermal water heating. Solar PV systems play an important role in off-grid electricity generation in remote areas. </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rPr>
      </w:pPr>
      <w:r w:rsidRPr="00EF30C2">
        <w:rPr>
          <w:rFonts w:ascii="Arial" w:hAnsi="Arial" w:cs="Arial"/>
          <w:color w:val="2F2F2F"/>
          <w:sz w:val="22"/>
          <w:szCs w:val="22"/>
        </w:rPr>
        <w:t>Electricity generation is increasing in response to government policies, notably the Renewable Energy Target, and as a consequence of the development of photovoltaic and concentrating solar thermal technologies through substantial research and development programs. These include the government's</w:t>
      </w:r>
      <w:r w:rsidRPr="00EF30C2">
        <w:rPr>
          <w:rStyle w:val="apple-converted-space"/>
          <w:rFonts w:ascii="Arial" w:hAnsi="Arial" w:cs="Arial"/>
          <w:color w:val="2F2F2F"/>
          <w:sz w:val="22"/>
          <w:szCs w:val="22"/>
        </w:rPr>
        <w:t> </w:t>
      </w:r>
      <w:r w:rsidRPr="00EF30C2">
        <w:rPr>
          <w:rFonts w:ascii="Arial" w:hAnsi="Arial" w:cs="Arial"/>
          <w:color w:val="2F2F2F"/>
          <w:sz w:val="22"/>
          <w:szCs w:val="22"/>
        </w:rPr>
        <w:t>Clean Energy Initiative Solar Flagships Program</w:t>
      </w:r>
      <w:r w:rsidRPr="00EF30C2">
        <w:rPr>
          <w:rFonts w:ascii="Arial" w:eastAsiaTheme="minorEastAsia" w:hAnsi="Arial" w:cs="Arial"/>
          <w:color w:val="2F2F2F"/>
          <w:sz w:val="22"/>
          <w:szCs w:val="22"/>
        </w:rPr>
        <w:t xml:space="preserve"> </w:t>
      </w:r>
      <w:r w:rsidRPr="00EF30C2">
        <w:rPr>
          <w:rFonts w:ascii="Arial" w:hAnsi="Arial" w:cs="Arial"/>
          <w:color w:val="2F2F2F"/>
          <w:sz w:val="22"/>
          <w:szCs w:val="22"/>
        </w:rPr>
        <w:t>managed by the Department of Resources Energy and Tourism which has committed $1.5 billion to support the construction and demonstration of up to four large-scale solar power plants in Australia, using solar thermal and PV technologies. The Government's aim is to establish up to 1000 megawatts (MW) of solar power generation capacity.</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rPr>
      </w:pPr>
      <w:r w:rsidRPr="00EF30C2">
        <w:rPr>
          <w:rFonts w:ascii="Arial" w:hAnsi="Arial" w:cs="Arial"/>
          <w:color w:val="2F2F2F"/>
          <w:sz w:val="22"/>
          <w:szCs w:val="22"/>
        </w:rPr>
        <w:t xml:space="preserve">Geoscience Australia is contributing to this program by providing pre-competitive solar resource </w:t>
      </w:r>
      <w:proofErr w:type="spellStart"/>
      <w:r w:rsidRPr="00EF30C2">
        <w:rPr>
          <w:rFonts w:ascii="Arial" w:hAnsi="Arial" w:cs="Arial"/>
          <w:color w:val="2F2F2F"/>
          <w:sz w:val="22"/>
          <w:szCs w:val="22"/>
        </w:rPr>
        <w:t>prospectivity</w:t>
      </w:r>
      <w:proofErr w:type="spellEnd"/>
      <w:r w:rsidRPr="00EF30C2">
        <w:rPr>
          <w:rFonts w:ascii="Arial" w:hAnsi="Arial" w:cs="Arial"/>
          <w:color w:val="2F2F2F"/>
          <w:sz w:val="22"/>
          <w:szCs w:val="22"/>
        </w:rPr>
        <w:t xml:space="preserve"> data and analysis to assist the solar industry and research community. The first steps in this project were to improve the collection of solar insolation data through a collaboration project with the</w:t>
      </w:r>
      <w:r w:rsidRPr="00EF30C2">
        <w:rPr>
          <w:rStyle w:val="apple-converted-space"/>
          <w:rFonts w:ascii="Arial" w:hAnsi="Arial" w:cs="Arial"/>
          <w:color w:val="2F2F2F"/>
          <w:sz w:val="22"/>
          <w:szCs w:val="22"/>
        </w:rPr>
        <w:t> </w:t>
      </w:r>
      <w:r w:rsidRPr="00EF30C2">
        <w:rPr>
          <w:rFonts w:ascii="Arial" w:hAnsi="Arial" w:cs="Arial"/>
          <w:color w:val="2F2F2F"/>
          <w:sz w:val="22"/>
          <w:szCs w:val="22"/>
        </w:rPr>
        <w:t>Bureau of Meteorology</w:t>
      </w:r>
      <w:r w:rsidRPr="00EF30C2">
        <w:rPr>
          <w:rFonts w:ascii="Arial" w:eastAsiaTheme="minorEastAsia" w:hAnsi="Arial" w:cs="Arial"/>
          <w:color w:val="2F2F2F"/>
          <w:sz w:val="22"/>
          <w:szCs w:val="22"/>
        </w:rPr>
        <w:t xml:space="preserve"> </w:t>
      </w:r>
      <w:r w:rsidRPr="00EF30C2">
        <w:rPr>
          <w:rFonts w:ascii="Arial" w:eastAsiaTheme="minorEastAsia" w:hAnsi="Arial" w:cs="Arial"/>
          <w:color w:val="A6A6A6" w:themeColor="background1" w:themeShade="A6"/>
          <w:sz w:val="22"/>
          <w:szCs w:val="22"/>
        </w:rPr>
        <w:t>http://www.bom.gov.au/</w:t>
      </w:r>
      <w:r w:rsidRPr="00EF30C2">
        <w:rPr>
          <w:rFonts w:ascii="Arial" w:hAnsi="Arial" w:cs="Arial"/>
          <w:color w:val="2F2F2F"/>
          <w:sz w:val="22"/>
          <w:szCs w:val="22"/>
        </w:rPr>
        <w:t>, to increase their solar monitoring ground station network, and to improve the satellite models base used in collaboration with those ground stations.</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rPr>
      </w:pPr>
    </w:p>
    <w:p w:rsidR="00EF30C2" w:rsidRPr="00EF30C2" w:rsidRDefault="00EF30C2" w:rsidP="00EF30C2">
      <w:pPr>
        <w:pStyle w:val="NormalWeb"/>
        <w:shd w:val="clear" w:color="auto" w:fill="FFFFFF"/>
        <w:spacing w:before="120" w:beforeAutospacing="0" w:after="120" w:afterAutospacing="0" w:line="300" w:lineRule="atLeast"/>
        <w:rPr>
          <w:rFonts w:ascii="Arial" w:hAnsi="Arial" w:cs="Arial"/>
          <w:color w:val="2F2F2F"/>
          <w:sz w:val="22"/>
          <w:szCs w:val="22"/>
        </w:rPr>
      </w:pPr>
      <w:r w:rsidRPr="00EF30C2">
        <w:rPr>
          <w:rFonts w:ascii="Arial" w:hAnsi="Arial" w:cs="Arial"/>
          <w:color w:val="2F2F2F"/>
          <w:sz w:val="22"/>
          <w:szCs w:val="22"/>
        </w:rPr>
        <w:lastRenderedPageBreak/>
        <w:t>For people interested in solar ground station sites across Australia, you can view a map and information on some of the</w:t>
      </w:r>
      <w:r w:rsidRPr="00EF30C2">
        <w:rPr>
          <w:rFonts w:ascii="Arial" w:eastAsiaTheme="minorEastAsia" w:hAnsi="Arial" w:cs="Arial"/>
          <w:color w:val="2F2F2F"/>
          <w:sz w:val="22"/>
          <w:szCs w:val="22"/>
        </w:rPr>
        <w:t xml:space="preserve"> </w:t>
      </w:r>
      <w:r w:rsidRPr="00EF30C2">
        <w:rPr>
          <w:rFonts w:ascii="Arial" w:hAnsi="Arial" w:cs="Arial"/>
          <w:color w:val="2F2F2F"/>
          <w:sz w:val="22"/>
          <w:szCs w:val="22"/>
        </w:rPr>
        <w:t xml:space="preserve">active solar ground </w:t>
      </w:r>
      <w:r w:rsidRPr="00EF30C2">
        <w:rPr>
          <w:rFonts w:ascii="Arial" w:hAnsi="Arial" w:cs="Arial"/>
          <w:color w:val="A6A6A6" w:themeColor="background1" w:themeShade="A6"/>
          <w:sz w:val="22"/>
          <w:szCs w:val="22"/>
        </w:rPr>
        <w:t>stations</w:t>
      </w:r>
      <w:r w:rsidRPr="00EF30C2">
        <w:rPr>
          <w:rStyle w:val="apple-converted-space"/>
          <w:rFonts w:ascii="Arial" w:hAnsi="Arial" w:cs="Arial"/>
          <w:color w:val="A6A6A6" w:themeColor="background1" w:themeShade="A6"/>
          <w:sz w:val="22"/>
          <w:szCs w:val="22"/>
        </w:rPr>
        <w:t xml:space="preserve"> http://www.ga.gov.au/scientific-topics/energy/resources/other-renewable-energy-resources/solar-energy/active-solar-ground-stations-across-australia </w:t>
      </w:r>
      <w:r w:rsidRPr="00EF30C2">
        <w:rPr>
          <w:rFonts w:ascii="Arial" w:hAnsi="Arial" w:cs="Arial"/>
          <w:color w:val="2F2F2F"/>
          <w:sz w:val="22"/>
          <w:szCs w:val="22"/>
        </w:rPr>
        <w:t>currently collecting insolation data across Australia.</w:t>
      </w:r>
    </w:p>
    <w:p w:rsidR="00EF30C2" w:rsidRPr="00EF30C2" w:rsidRDefault="00EF30C2" w:rsidP="00EF30C2">
      <w:pPr>
        <w:spacing w:before="120" w:after="120" w:line="300" w:lineRule="atLeast"/>
        <w:rPr>
          <w:rFonts w:ascii="Arial" w:hAnsi="Arial" w:cs="Arial"/>
          <w:b/>
        </w:rPr>
      </w:pPr>
      <w:r w:rsidRPr="00EF30C2">
        <w:rPr>
          <w:rFonts w:ascii="Arial" w:hAnsi="Arial" w:cs="Arial"/>
          <w:b/>
        </w:rPr>
        <w:t>Australian Renewable Energy Mapping Infrastructure (AREMI)</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rPr>
      </w:pPr>
      <w:r w:rsidRPr="00EF30C2">
        <w:rPr>
          <w:rFonts w:ascii="Arial" w:hAnsi="Arial" w:cs="Arial"/>
          <w:color w:val="2F2F2F"/>
          <w:sz w:val="22"/>
          <w:szCs w:val="22"/>
        </w:rPr>
        <w:t>AREMI is a website for map-based access to Australian spatial data relevant to the Renewable Energy industry - with a focus on Developers, Financiers, and Policy Makers. This project has hosting provided by Geoscience Australia, funding by the</w:t>
      </w:r>
      <w:r w:rsidRPr="00EF30C2">
        <w:rPr>
          <w:rStyle w:val="apple-converted-space"/>
          <w:rFonts w:ascii="Arial" w:hAnsi="Arial" w:cs="Arial"/>
          <w:color w:val="2F2F2F"/>
          <w:sz w:val="22"/>
          <w:szCs w:val="22"/>
        </w:rPr>
        <w:t> </w:t>
      </w:r>
      <w:r w:rsidRPr="00EF30C2">
        <w:rPr>
          <w:rFonts w:ascii="Arial" w:hAnsi="Arial" w:cs="Arial"/>
          <w:color w:val="2F2F2F"/>
          <w:sz w:val="22"/>
          <w:szCs w:val="22"/>
        </w:rPr>
        <w:t>Australian Renewable Energy Agency</w:t>
      </w:r>
      <w:r w:rsidRPr="00EF30C2">
        <w:rPr>
          <w:rFonts w:ascii="Arial" w:eastAsiaTheme="minorEastAsia" w:hAnsi="Arial" w:cs="Arial"/>
          <w:color w:val="2F2F2F"/>
          <w:sz w:val="22"/>
          <w:szCs w:val="22"/>
        </w:rPr>
        <w:t xml:space="preserve"> </w:t>
      </w:r>
      <w:r w:rsidRPr="00EF30C2">
        <w:rPr>
          <w:rFonts w:ascii="Arial" w:eastAsiaTheme="minorEastAsia" w:hAnsi="Arial" w:cs="Arial"/>
          <w:color w:val="A6A6A6" w:themeColor="background1" w:themeShade="A6"/>
          <w:sz w:val="22"/>
          <w:szCs w:val="22"/>
        </w:rPr>
        <w:t>http://arena.gov.au/</w:t>
      </w:r>
      <w:r w:rsidRPr="00EF30C2">
        <w:rPr>
          <w:rFonts w:ascii="Arial" w:hAnsi="Arial" w:cs="Arial"/>
          <w:color w:val="2F2F2F"/>
          <w:sz w:val="22"/>
          <w:szCs w:val="22"/>
        </w:rPr>
        <w:t>, developed by</w:t>
      </w:r>
      <w:r w:rsidRPr="00EF30C2">
        <w:rPr>
          <w:rStyle w:val="apple-converted-space"/>
          <w:rFonts w:ascii="Arial" w:hAnsi="Arial" w:cs="Arial"/>
          <w:color w:val="2F2F2F"/>
          <w:sz w:val="22"/>
          <w:szCs w:val="22"/>
        </w:rPr>
        <w:t> </w:t>
      </w:r>
      <w:r w:rsidRPr="00EF30C2">
        <w:rPr>
          <w:rFonts w:ascii="Arial" w:hAnsi="Arial" w:cs="Arial"/>
          <w:color w:val="2F2F2F"/>
          <w:sz w:val="22"/>
          <w:szCs w:val="22"/>
        </w:rPr>
        <w:t>NICTA</w:t>
      </w:r>
      <w:r w:rsidRPr="00EF30C2">
        <w:rPr>
          <w:rStyle w:val="apple-converted-space"/>
          <w:rFonts w:ascii="Arial" w:eastAsiaTheme="minorEastAsia" w:hAnsi="Arial" w:cs="Arial"/>
          <w:color w:val="2F2F2F"/>
          <w:sz w:val="22"/>
          <w:szCs w:val="22"/>
        </w:rPr>
        <w:t xml:space="preserve"> </w:t>
      </w:r>
      <w:r w:rsidRPr="00EF30C2">
        <w:rPr>
          <w:rStyle w:val="apple-converted-space"/>
          <w:rFonts w:ascii="Arial" w:hAnsi="Arial" w:cs="Arial"/>
          <w:color w:val="A6A6A6" w:themeColor="background1" w:themeShade="A6"/>
          <w:sz w:val="22"/>
          <w:szCs w:val="22"/>
        </w:rPr>
        <w:t xml:space="preserve">https://www.nicta.com.au/ </w:t>
      </w:r>
      <w:r w:rsidRPr="00EF30C2">
        <w:rPr>
          <w:rFonts w:ascii="Arial" w:hAnsi="Arial" w:cs="Arial"/>
          <w:color w:val="2F2F2F"/>
          <w:sz w:val="22"/>
          <w:szCs w:val="22"/>
        </w:rPr>
        <w:t>in partnership with the</w:t>
      </w:r>
      <w:r w:rsidRPr="00EF30C2">
        <w:rPr>
          <w:rStyle w:val="apple-converted-space"/>
          <w:rFonts w:ascii="Arial" w:hAnsi="Arial" w:cs="Arial"/>
          <w:color w:val="2F2F2F"/>
          <w:sz w:val="22"/>
          <w:szCs w:val="22"/>
        </w:rPr>
        <w:t> </w:t>
      </w:r>
      <w:r w:rsidRPr="00EF30C2">
        <w:rPr>
          <w:rFonts w:ascii="Arial" w:hAnsi="Arial" w:cs="Arial"/>
          <w:color w:val="2F2F2F"/>
          <w:sz w:val="22"/>
          <w:szCs w:val="22"/>
        </w:rPr>
        <w:t>Clean Energy Council</w:t>
      </w:r>
      <w:r w:rsidRPr="00EF30C2">
        <w:rPr>
          <w:rFonts w:ascii="Arial" w:eastAsiaTheme="minorEastAsia" w:hAnsi="Arial" w:cs="Arial"/>
          <w:color w:val="2F2F2F"/>
          <w:sz w:val="22"/>
          <w:szCs w:val="22"/>
        </w:rPr>
        <w:t xml:space="preserve"> </w:t>
      </w:r>
      <w:r w:rsidRPr="00EF30C2">
        <w:rPr>
          <w:rFonts w:ascii="Arial" w:eastAsiaTheme="minorEastAsia" w:hAnsi="Arial" w:cs="Arial"/>
          <w:color w:val="A6A6A6" w:themeColor="background1" w:themeShade="A6"/>
          <w:sz w:val="22"/>
          <w:szCs w:val="22"/>
        </w:rPr>
        <w:t>https://www.cleanenergycouncil.org.au/cec.html</w:t>
      </w:r>
      <w:r w:rsidRPr="00EF30C2">
        <w:rPr>
          <w:rFonts w:ascii="Arial" w:hAnsi="Arial" w:cs="Arial"/>
          <w:color w:val="2F2F2F"/>
          <w:sz w:val="22"/>
          <w:szCs w:val="22"/>
        </w:rPr>
        <w:t>. The site is an extension of the Australian Government's</w:t>
      </w:r>
      <w:r w:rsidRPr="00EF30C2">
        <w:rPr>
          <w:rStyle w:val="apple-converted-space"/>
          <w:rFonts w:ascii="Arial" w:hAnsi="Arial" w:cs="Arial"/>
          <w:color w:val="2F2F2F"/>
          <w:sz w:val="22"/>
          <w:szCs w:val="22"/>
        </w:rPr>
        <w:t> </w:t>
      </w:r>
      <w:r w:rsidRPr="00EF30C2">
        <w:rPr>
          <w:rFonts w:ascii="Arial" w:hAnsi="Arial" w:cs="Arial"/>
          <w:color w:val="2F2F2F"/>
          <w:sz w:val="22"/>
          <w:szCs w:val="22"/>
        </w:rPr>
        <w:t>National Map</w:t>
      </w:r>
      <w:r w:rsidRPr="00EF30C2">
        <w:rPr>
          <w:rStyle w:val="apple-converted-space"/>
          <w:rFonts w:ascii="Arial" w:hAnsi="Arial" w:cs="Arial"/>
          <w:color w:val="2F2F2F"/>
          <w:sz w:val="22"/>
          <w:szCs w:val="22"/>
        </w:rPr>
        <w:t> </w:t>
      </w:r>
      <w:r w:rsidRPr="00EF30C2">
        <w:rPr>
          <w:rStyle w:val="apple-converted-space"/>
          <w:rFonts w:ascii="Arial" w:hAnsi="Arial" w:cs="Arial"/>
          <w:color w:val="A6A6A6" w:themeColor="background1" w:themeShade="A6"/>
          <w:sz w:val="22"/>
          <w:szCs w:val="22"/>
        </w:rPr>
        <w:t>http://nationalmap.gov.au/</w:t>
      </w:r>
      <w:r w:rsidRPr="00EF30C2">
        <w:rPr>
          <w:rStyle w:val="apple-converted-space"/>
          <w:rFonts w:ascii="Arial" w:hAnsi="Arial" w:cs="Arial"/>
          <w:color w:val="808080" w:themeColor="background1" w:themeShade="80"/>
          <w:sz w:val="22"/>
          <w:szCs w:val="22"/>
        </w:rPr>
        <w:t xml:space="preserve"> </w:t>
      </w:r>
      <w:r w:rsidRPr="00EF30C2">
        <w:rPr>
          <w:rFonts w:ascii="Arial" w:hAnsi="Arial" w:cs="Arial"/>
          <w:color w:val="2F2F2F"/>
          <w:sz w:val="22"/>
          <w:szCs w:val="22"/>
        </w:rPr>
        <w:t>initiative.</w:t>
      </w:r>
    </w:p>
    <w:p w:rsidR="00EF30C2" w:rsidRPr="00EF30C2" w:rsidRDefault="00EF30C2" w:rsidP="00EF30C2">
      <w:pPr>
        <w:pStyle w:val="NormalWeb"/>
        <w:shd w:val="clear" w:color="auto" w:fill="FFFFFF"/>
        <w:spacing w:before="120" w:beforeAutospacing="0" w:after="120" w:afterAutospacing="0" w:line="300" w:lineRule="atLeast"/>
        <w:rPr>
          <w:rFonts w:ascii="Arial" w:hAnsi="Arial" w:cs="Arial"/>
          <w:color w:val="2F2F2F"/>
          <w:sz w:val="22"/>
          <w:szCs w:val="22"/>
        </w:rPr>
      </w:pPr>
      <w:r w:rsidRPr="00EF30C2">
        <w:rPr>
          <w:rFonts w:ascii="Arial" w:hAnsi="Arial" w:cs="Arial"/>
          <w:color w:val="2F2F2F"/>
          <w:sz w:val="22"/>
          <w:szCs w:val="22"/>
        </w:rPr>
        <w:t>AREMI is an open architecture system. When you access data through it, you are typically accessing the data directly from the government department or agency which is the custodian of that data.</w:t>
      </w:r>
    </w:p>
    <w:p w:rsidR="00EF30C2" w:rsidRPr="00EF30C2" w:rsidRDefault="00EF30C2" w:rsidP="00CF624B">
      <w:pPr>
        <w:shd w:val="clear" w:color="auto" w:fill="D3EC9E" w:themeFill="accent2"/>
        <w:spacing w:before="120" w:after="120" w:line="300" w:lineRule="atLeast"/>
        <w:rPr>
          <w:rFonts w:ascii="Arial" w:hAnsi="Arial" w:cs="Arial"/>
          <w:b/>
        </w:rPr>
      </w:pPr>
      <w:r w:rsidRPr="00EF30C2">
        <w:rPr>
          <w:rFonts w:ascii="Arial" w:hAnsi="Arial" w:cs="Arial"/>
          <w:b/>
        </w:rPr>
        <w:t>Ocean energy</w:t>
      </w:r>
    </w:p>
    <w:p w:rsidR="00EF30C2" w:rsidRPr="00EF30C2" w:rsidRDefault="00EF30C2" w:rsidP="00EF30C2">
      <w:pPr>
        <w:spacing w:before="120" w:after="120" w:line="300" w:lineRule="atLeast"/>
        <w:rPr>
          <w:rFonts w:ascii="Arial" w:eastAsia="Times New Roman" w:hAnsi="Arial" w:cs="Arial"/>
          <w:color w:val="2F2F2F"/>
        </w:rPr>
      </w:pPr>
      <w:r w:rsidRPr="00EF30C2">
        <w:rPr>
          <w:rFonts w:ascii="Arial" w:eastAsia="Times New Roman" w:hAnsi="Arial" w:cs="Arial"/>
          <w:color w:val="2F2F2F"/>
        </w:rPr>
        <w:t>There are two broad types of ocean energy: mechanical energy from the tides and waves, and thermal energy from the sun's heat. Ocean energy is classified as tidal energy, wave energy and ocean thermal energy. Potential energy resources associated with major ocean currents, such as the East Australia Current or the Leeuwin Current, are not considered here.</w:t>
      </w:r>
    </w:p>
    <w:p w:rsidR="00EF30C2" w:rsidRPr="00EF30C2" w:rsidRDefault="00EF30C2" w:rsidP="00EF30C2">
      <w:pPr>
        <w:spacing w:before="120" w:after="120" w:line="300" w:lineRule="atLeast"/>
        <w:rPr>
          <w:rFonts w:ascii="Arial" w:hAnsi="Arial" w:cs="Arial"/>
          <w:b/>
        </w:rPr>
      </w:pPr>
      <w:r w:rsidRPr="00EF30C2">
        <w:rPr>
          <w:rFonts w:ascii="Arial" w:hAnsi="Arial" w:cs="Arial"/>
          <w:b/>
        </w:rPr>
        <w:t>Tidal energy</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rPr>
      </w:pPr>
      <w:r w:rsidRPr="00EF30C2">
        <w:rPr>
          <w:rFonts w:ascii="Arial" w:hAnsi="Arial" w:cs="Arial"/>
          <w:color w:val="2F2F2F"/>
          <w:sz w:val="22"/>
          <w:szCs w:val="22"/>
        </w:rPr>
        <w:t>Tides result from the gravitational attraction of the Earth-Moon-Sun system acting on the Earth's oceans. Tides are long period waves that result in the cyclical rise and fall of the ocean's surface together with horizontal currents. The rotating tide waves result in different sea levels from one place on the continental shelf to the next at any one time, and this causes the water column to flow horizontally back and forth (tidal currents) over the shelf with the tidal oscillations in sea level.</w:t>
      </w:r>
    </w:p>
    <w:p w:rsidR="00EF30C2" w:rsidRPr="00EF30C2" w:rsidRDefault="00EF30C2" w:rsidP="00EF30C2">
      <w:pPr>
        <w:pStyle w:val="NormalWeb"/>
        <w:shd w:val="clear" w:color="auto" w:fill="FFFFFF"/>
        <w:spacing w:before="120" w:beforeAutospacing="0" w:after="120" w:afterAutospacing="0" w:line="300" w:lineRule="atLeast"/>
        <w:rPr>
          <w:rFonts w:ascii="Arial" w:hAnsi="Arial" w:cs="Arial"/>
          <w:color w:val="2F2F2F"/>
          <w:sz w:val="22"/>
          <w:szCs w:val="22"/>
        </w:rPr>
      </w:pPr>
      <w:r w:rsidRPr="00EF30C2">
        <w:rPr>
          <w:rFonts w:ascii="Arial" w:hAnsi="Arial" w:cs="Arial"/>
          <w:color w:val="2F2F2F"/>
          <w:sz w:val="22"/>
          <w:szCs w:val="22"/>
        </w:rPr>
        <w:t>Tidal energy is energy generated from tidal movements. Tides contain both potential energy, related to the vertical fluctuations in sea level, and kinetic energy, related to the horizontal motion of the water column. It can be harnessed using two main technologies:</w:t>
      </w:r>
    </w:p>
    <w:p w:rsidR="00EF30C2" w:rsidRPr="00CF624B" w:rsidRDefault="00EF30C2" w:rsidP="00CF624B">
      <w:pPr>
        <w:pStyle w:val="ListParagraph"/>
        <w:numPr>
          <w:ilvl w:val="0"/>
          <w:numId w:val="11"/>
        </w:numPr>
        <w:shd w:val="clear" w:color="auto" w:fill="FFFFFF"/>
        <w:spacing w:before="120" w:after="120" w:line="300" w:lineRule="atLeast"/>
        <w:ind w:left="426"/>
        <w:rPr>
          <w:rFonts w:ascii="Arial" w:eastAsia="Times New Roman" w:hAnsi="Arial" w:cs="Arial"/>
          <w:color w:val="2F2F2F"/>
        </w:rPr>
      </w:pPr>
      <w:r w:rsidRPr="00CF624B">
        <w:rPr>
          <w:rFonts w:ascii="Arial" w:eastAsia="Times New Roman" w:hAnsi="Arial" w:cs="Arial"/>
          <w:color w:val="2F2F2F"/>
        </w:rPr>
        <w:t>Tidal barrages (or lagoons) are based on the rise and fall of the tides – these generally consist of a barrage that encloses a large tidal basin. Water enters the basin through sluice gates in the barrage and is released through low-head turbines to generate electricity.</w:t>
      </w:r>
    </w:p>
    <w:p w:rsidR="00EF30C2" w:rsidRPr="00CF624B" w:rsidRDefault="00EF30C2" w:rsidP="00CF624B">
      <w:pPr>
        <w:pStyle w:val="ListParagraph"/>
        <w:numPr>
          <w:ilvl w:val="0"/>
          <w:numId w:val="11"/>
        </w:numPr>
        <w:shd w:val="clear" w:color="auto" w:fill="FFFFFF"/>
        <w:spacing w:before="120" w:after="120" w:line="300" w:lineRule="atLeast"/>
        <w:ind w:left="426"/>
        <w:rPr>
          <w:rFonts w:ascii="Arial" w:eastAsia="Times New Roman" w:hAnsi="Arial" w:cs="Arial"/>
          <w:color w:val="2F2F2F"/>
        </w:rPr>
      </w:pPr>
      <w:r w:rsidRPr="00CF624B">
        <w:rPr>
          <w:rFonts w:ascii="Arial" w:eastAsia="Times New Roman" w:hAnsi="Arial" w:cs="Arial"/>
          <w:color w:val="2F2F2F"/>
        </w:rPr>
        <w:t>Tidal stream generators are based on tidal or marine currents – these are free-standing structures built in channels, straits or on the shelf and are designed to harness the kinetic energy of the tide. They are essentially turbines that generate electricity from horizontally flowing tidal currents (analogous to wind turbines).</w:t>
      </w:r>
    </w:p>
    <w:p w:rsidR="00EF30C2" w:rsidRPr="00EF30C2" w:rsidRDefault="00EF30C2" w:rsidP="00EF30C2">
      <w:pPr>
        <w:spacing w:before="120" w:after="120" w:line="300" w:lineRule="atLeast"/>
        <w:rPr>
          <w:rFonts w:ascii="Arial" w:hAnsi="Arial" w:cs="Arial"/>
          <w:b/>
        </w:rPr>
      </w:pPr>
      <w:r w:rsidRPr="00EF30C2">
        <w:rPr>
          <w:rFonts w:ascii="Arial" w:hAnsi="Arial" w:cs="Arial"/>
          <w:b/>
        </w:rPr>
        <w:t>Wave energy</w:t>
      </w:r>
    </w:p>
    <w:p w:rsidR="00EF30C2" w:rsidRPr="00EF30C2" w:rsidRDefault="00EF30C2" w:rsidP="00EF30C2">
      <w:pPr>
        <w:spacing w:before="120" w:after="120" w:line="300" w:lineRule="atLeast"/>
        <w:rPr>
          <w:rFonts w:ascii="Arial" w:hAnsi="Arial" w:cs="Arial"/>
        </w:rPr>
      </w:pPr>
      <w:r w:rsidRPr="00EF30C2">
        <w:rPr>
          <w:rFonts w:ascii="Arial" w:hAnsi="Arial" w:cs="Arial"/>
          <w:color w:val="2F2F2F"/>
          <w:shd w:val="clear" w:color="auto" w:fill="FFFFFF"/>
        </w:rPr>
        <w:t>Waves (swell) are formed by the transfer of energy from atmospheric motion (wind) to the ocean surface. Wave height is determined by wind speed, the length of time the wind has been blowing, the fetch (distance over which the wind has been blowing), and the depth and topography of the sea floor. Large storms generate local storm waves and more distant regular waves (swell) that can travel long distances before reaching shore. Wave energy is generated by converting the energy of ocean waves (swells) into other forms of energy (currently only electricity). It can be harnessed using a variety of different technologies, several of which are currently being trialled to find the most efficient way to generate electricity from wave energy.</w:t>
      </w:r>
    </w:p>
    <w:p w:rsidR="00EF30C2" w:rsidRPr="00EF30C2" w:rsidRDefault="00EF30C2" w:rsidP="00EF30C2">
      <w:pPr>
        <w:spacing w:before="120" w:after="120" w:line="300" w:lineRule="atLeast"/>
        <w:rPr>
          <w:rFonts w:ascii="Arial" w:hAnsi="Arial" w:cs="Arial"/>
          <w:b/>
        </w:rPr>
      </w:pPr>
      <w:r w:rsidRPr="00EF30C2">
        <w:rPr>
          <w:rFonts w:ascii="Arial" w:hAnsi="Arial" w:cs="Arial"/>
          <w:b/>
        </w:rPr>
        <w:lastRenderedPageBreak/>
        <w:t>Ocean thermal energy</w:t>
      </w:r>
    </w:p>
    <w:p w:rsidR="00EF30C2" w:rsidRPr="00EF30C2" w:rsidRDefault="00EF30C2" w:rsidP="00EF30C2">
      <w:pPr>
        <w:shd w:val="clear" w:color="auto" w:fill="FFFFFF"/>
        <w:spacing w:before="120" w:after="120" w:line="300" w:lineRule="atLeast"/>
        <w:rPr>
          <w:rFonts w:ascii="Arial" w:hAnsi="Arial" w:cs="Arial"/>
          <w:color w:val="2F2F2F"/>
        </w:rPr>
      </w:pPr>
      <w:r w:rsidRPr="00EF30C2">
        <w:rPr>
          <w:rFonts w:ascii="Arial" w:eastAsia="Times New Roman" w:hAnsi="Arial" w:cs="Arial"/>
          <w:color w:val="2F2F2F"/>
        </w:rPr>
        <w:t>Oceans cover more than 70 per cent of the Earth's surface. The sun's heat results in a temperature difference between the surface water of the ocean and deep ocean water, and this temperature difference creates ocean thermal energy.</w:t>
      </w:r>
    </w:p>
    <w:p w:rsidR="00EF30C2" w:rsidRPr="00EF30C2" w:rsidRDefault="00EF30C2" w:rsidP="00EF30C2">
      <w:pPr>
        <w:shd w:val="clear" w:color="auto" w:fill="FFFFFF"/>
        <w:spacing w:before="120" w:after="120" w:line="300" w:lineRule="atLeast"/>
        <w:rPr>
          <w:rFonts w:ascii="Arial" w:eastAsia="Times New Roman" w:hAnsi="Arial" w:cs="Arial"/>
          <w:color w:val="2F2F2F"/>
        </w:rPr>
      </w:pPr>
      <w:r w:rsidRPr="00EF30C2">
        <w:rPr>
          <w:rFonts w:ascii="Arial" w:eastAsia="Times New Roman" w:hAnsi="Arial" w:cs="Arial"/>
          <w:color w:val="2F2F2F"/>
        </w:rPr>
        <w:t xml:space="preserve">Ocean thermal energy conversion (OTEC) is a means of converting into useful energy the temperature difference between surface water and water at depth. OTEC plants may be used for a range of applications, including electricity generation. They may be </w:t>
      </w:r>
      <w:proofErr w:type="spellStart"/>
      <w:r w:rsidRPr="00EF30C2">
        <w:rPr>
          <w:rFonts w:ascii="Arial" w:eastAsia="Times New Roman" w:hAnsi="Arial" w:cs="Arial"/>
          <w:color w:val="2F2F2F"/>
        </w:rPr>
        <w:t>landbased</w:t>
      </w:r>
      <w:proofErr w:type="spellEnd"/>
      <w:r w:rsidRPr="00EF30C2">
        <w:rPr>
          <w:rFonts w:ascii="Arial" w:eastAsia="Times New Roman" w:hAnsi="Arial" w:cs="Arial"/>
          <w:color w:val="2F2F2F"/>
        </w:rPr>
        <w:t>, floating or grazing.</w:t>
      </w:r>
    </w:p>
    <w:p w:rsidR="00EF30C2" w:rsidRPr="00EF30C2" w:rsidRDefault="00EF30C2" w:rsidP="00EF30C2">
      <w:pPr>
        <w:spacing w:before="120" w:after="120" w:line="300" w:lineRule="atLeast"/>
        <w:rPr>
          <w:rFonts w:ascii="Arial" w:hAnsi="Arial" w:cs="Arial"/>
          <w:b/>
        </w:rPr>
      </w:pPr>
      <w:r w:rsidRPr="00EF30C2">
        <w:rPr>
          <w:rFonts w:ascii="Arial" w:hAnsi="Arial" w:cs="Arial"/>
          <w:b/>
        </w:rPr>
        <w:t>World ocean energy market</w:t>
      </w:r>
    </w:p>
    <w:p w:rsidR="00EF30C2" w:rsidRPr="00EF30C2" w:rsidRDefault="00EF30C2" w:rsidP="00EF30C2">
      <w:pPr>
        <w:spacing w:before="120" w:after="120" w:line="300" w:lineRule="atLeast"/>
        <w:rPr>
          <w:rFonts w:ascii="Arial" w:hAnsi="Arial" w:cs="Arial"/>
        </w:rPr>
      </w:pPr>
      <w:r w:rsidRPr="00EF30C2">
        <w:rPr>
          <w:rFonts w:ascii="Arial" w:hAnsi="Arial" w:cs="Arial"/>
          <w:color w:val="2F2F2F"/>
          <w:shd w:val="clear" w:color="auto" w:fill="FFFFFF"/>
        </w:rPr>
        <w:t>There is only a small market at present for tidal, wave and ocean thermal energy. In 2009, commercial applications were limited to electricity generation based on tidal energy resources in France and Canada but significant investment in new tidal energy projects was taking place in the Republic of Korea. Feasibility assessments and RD&amp;D investments in ocean energy technologies are taking place in several countries.</w:t>
      </w:r>
    </w:p>
    <w:p w:rsidR="00EF30C2" w:rsidRPr="00EF30C2" w:rsidRDefault="00EF30C2" w:rsidP="00EF30C2">
      <w:pPr>
        <w:spacing w:before="120" w:after="120" w:line="300" w:lineRule="atLeast"/>
        <w:rPr>
          <w:rFonts w:ascii="Arial" w:hAnsi="Arial" w:cs="Arial"/>
          <w:b/>
        </w:rPr>
      </w:pPr>
      <w:r w:rsidRPr="00EF30C2">
        <w:rPr>
          <w:rFonts w:ascii="Arial" w:hAnsi="Arial" w:cs="Arial"/>
          <w:b/>
        </w:rPr>
        <w:t>Australia's ocean energy resources</w:t>
      </w:r>
    </w:p>
    <w:p w:rsidR="00EF30C2" w:rsidRPr="00EF30C2" w:rsidRDefault="00EF30C2" w:rsidP="00EF30C2">
      <w:pPr>
        <w:spacing w:before="120" w:after="120" w:line="300" w:lineRule="atLeast"/>
        <w:rPr>
          <w:rFonts w:ascii="Arial" w:hAnsi="Arial" w:cs="Arial"/>
        </w:rPr>
      </w:pPr>
      <w:r w:rsidRPr="00EF30C2">
        <w:rPr>
          <w:rFonts w:ascii="Arial" w:hAnsi="Arial" w:cs="Arial"/>
          <w:color w:val="2F2F2F"/>
          <w:shd w:val="clear" w:color="auto" w:fill="FFFFFF"/>
        </w:rPr>
        <w:t xml:space="preserve">There has been limited progress in assessing Australia's ocean thermal energy resources, not least because of the greater </w:t>
      </w:r>
      <w:proofErr w:type="spellStart"/>
      <w:r w:rsidRPr="00EF30C2">
        <w:rPr>
          <w:rFonts w:ascii="Arial" w:hAnsi="Arial" w:cs="Arial"/>
          <w:color w:val="2F2F2F"/>
          <w:shd w:val="clear" w:color="auto" w:fill="FFFFFF"/>
        </w:rPr>
        <w:t>prospectivity</w:t>
      </w:r>
      <w:proofErr w:type="spellEnd"/>
      <w:r w:rsidRPr="00EF30C2">
        <w:rPr>
          <w:rFonts w:ascii="Arial" w:hAnsi="Arial" w:cs="Arial"/>
          <w:color w:val="2F2F2F"/>
          <w:shd w:val="clear" w:color="auto" w:fill="FFFFFF"/>
        </w:rPr>
        <w:t xml:space="preserve"> of other renewable energy resources (WEC 2007).</w:t>
      </w:r>
      <w:r w:rsidRPr="00EF30C2">
        <w:rPr>
          <w:rFonts w:ascii="Arial" w:hAnsi="Arial" w:cs="Arial"/>
        </w:rPr>
        <w:t xml:space="preserve"> </w:t>
      </w:r>
    </w:p>
    <w:p w:rsidR="00EF30C2" w:rsidRPr="00EF30C2" w:rsidRDefault="00EF30C2" w:rsidP="00EF30C2">
      <w:pPr>
        <w:spacing w:before="120" w:after="120" w:line="300" w:lineRule="atLeast"/>
        <w:rPr>
          <w:rFonts w:ascii="Arial" w:hAnsi="Arial" w:cs="Arial"/>
          <w:b/>
        </w:rPr>
      </w:pPr>
      <w:r w:rsidRPr="00EF30C2">
        <w:rPr>
          <w:rFonts w:ascii="Arial" w:hAnsi="Arial" w:cs="Arial"/>
          <w:b/>
        </w:rPr>
        <w:t>Tidal energy</w:t>
      </w:r>
    </w:p>
    <w:p w:rsidR="00EF30C2" w:rsidRPr="00EF30C2" w:rsidRDefault="00EF30C2" w:rsidP="00EF30C2">
      <w:pPr>
        <w:shd w:val="clear" w:color="auto" w:fill="FFFFFF"/>
        <w:spacing w:before="120" w:after="120" w:line="300" w:lineRule="atLeast"/>
        <w:rPr>
          <w:rFonts w:ascii="Arial" w:hAnsi="Arial" w:cs="Arial"/>
          <w:color w:val="2F2F2F"/>
        </w:rPr>
      </w:pPr>
      <w:r w:rsidRPr="00EF30C2">
        <w:rPr>
          <w:rFonts w:ascii="Arial" w:eastAsia="Times New Roman" w:hAnsi="Arial" w:cs="Arial"/>
          <w:color w:val="2F2F2F"/>
        </w:rPr>
        <w:t>Assessment of Australia's tidal energy resources is restricted to the tide kinetic energy present on Australia's continental shelf. Tidal currents off the shelf are minimal. Moreover, significant transmission losses would be expected for tidal energy converters located far from shore. The continental shelf for this assessment is defined as water depths less than 300m.</w:t>
      </w:r>
    </w:p>
    <w:p w:rsidR="00EF30C2" w:rsidRPr="00EF30C2" w:rsidRDefault="00EF30C2" w:rsidP="00EF30C2">
      <w:pPr>
        <w:shd w:val="clear" w:color="auto" w:fill="FFFFFF"/>
        <w:spacing w:before="120" w:after="120" w:line="300" w:lineRule="atLeast"/>
        <w:rPr>
          <w:rFonts w:ascii="Arial" w:hAnsi="Arial" w:cs="Arial"/>
          <w:color w:val="2F2F2F"/>
        </w:rPr>
      </w:pPr>
      <w:r w:rsidRPr="00EF30C2">
        <w:rPr>
          <w:rFonts w:ascii="Arial" w:eastAsia="Times New Roman" w:hAnsi="Arial" w:cs="Arial"/>
          <w:color w:val="2F2F2F"/>
        </w:rPr>
        <w:t>A variety of tide energy converters are presently available to generate electricity. Barrage-type systems require specific coastal geomorphic settings – typically bays or estuaries – as they are designed to harvest the potential energy of the tide, which depends on both the tide range and the surface area of the basin (i.e. the tidal prism). Because of their site-specific requirements and the complex response of the tide in very shallow water, it is not practical to undertake a detailed national scale assessment of the tidal potential energy.</w:t>
      </w:r>
    </w:p>
    <w:p w:rsidR="00EF30C2" w:rsidRPr="00EF30C2" w:rsidRDefault="00EF30C2" w:rsidP="00EF30C2">
      <w:pPr>
        <w:shd w:val="clear" w:color="auto" w:fill="FFFFFF"/>
        <w:spacing w:before="120" w:after="120" w:line="300" w:lineRule="atLeast"/>
        <w:rPr>
          <w:rFonts w:ascii="Arial" w:hAnsi="Arial" w:cs="Arial"/>
          <w:color w:val="2F2F2F"/>
        </w:rPr>
      </w:pPr>
      <w:r w:rsidRPr="00EF30C2">
        <w:rPr>
          <w:rFonts w:ascii="Arial" w:eastAsia="Times New Roman" w:hAnsi="Arial" w:cs="Arial"/>
          <w:color w:val="2F2F2F"/>
        </w:rPr>
        <w:t>Barrage-type tide energy systems generally require macro-tide ranges (greater than 4m), which are restricted to the broad northern shelf of Australia; from Port Hedland northwards to Darwin and the southern end of the Great Barrier Reef. Other types of tidal energy converters (tidal turbines) harness the kinetic component of tide energy. They are suitable for installation on the continental shelf, and while they do not necessarily require highly-specific coastal configurations they can be deployed in locations where local coastal configurations result in increased tidal flows.</w:t>
      </w:r>
    </w:p>
    <w:p w:rsidR="00EF30C2" w:rsidRPr="00EF30C2" w:rsidRDefault="00EF30C2" w:rsidP="00EF30C2">
      <w:pPr>
        <w:shd w:val="clear" w:color="auto" w:fill="FFFFFF"/>
        <w:spacing w:before="120" w:after="120" w:line="300" w:lineRule="atLeast"/>
        <w:rPr>
          <w:rFonts w:ascii="Arial" w:hAnsi="Arial" w:cs="Arial"/>
          <w:color w:val="2F2F2F"/>
        </w:rPr>
      </w:pPr>
      <w:r w:rsidRPr="00EF30C2">
        <w:rPr>
          <w:rFonts w:ascii="Arial" w:eastAsia="Times New Roman" w:hAnsi="Arial" w:cs="Arial"/>
          <w:color w:val="2F2F2F"/>
        </w:rPr>
        <w:t>The total tidal kinetic energy on the entire Australian continental shelf at any one time, on average, is about 2.4PJ. Since the tidal movement of shelf waters occupies the entire water column, the tide energy adjacent to each state at any one time reflects both the volume of shelf waters and the current speed of those waters. There are numerous other locations on shallower or narrower regions of shelf where the total tide kinetic energy is considerably less, but still more than enough for the purpose of electricity generation (e.g. Darwin, Torres Strait and Bass Strait).</w:t>
      </w:r>
    </w:p>
    <w:p w:rsidR="00EF30C2" w:rsidRPr="00EF30C2" w:rsidRDefault="00EF30C2" w:rsidP="00EF30C2">
      <w:pPr>
        <w:shd w:val="clear" w:color="auto" w:fill="FFFFFF"/>
        <w:spacing w:before="120" w:after="120" w:line="300" w:lineRule="atLeast"/>
        <w:rPr>
          <w:rFonts w:ascii="Arial" w:hAnsi="Arial" w:cs="Arial"/>
          <w:color w:val="2F2F2F"/>
        </w:rPr>
      </w:pPr>
      <w:r w:rsidRPr="00EF30C2">
        <w:rPr>
          <w:rFonts w:ascii="Arial" w:eastAsia="Times New Roman" w:hAnsi="Arial" w:cs="Arial"/>
          <w:color w:val="2F2F2F"/>
        </w:rPr>
        <w:t xml:space="preserve">The regions of shelf that have the largest kinetic energy densities are the North West Shelf and the southern shelf of the Great Barrier Reef, with large areas having densities of more than 100 Joules per cubic metre (J/m3). Darwin, Bass Strait and Torres Strait have localised areas with similar energy densities, despite more modest tide ranges. This is due to the convergence and </w:t>
      </w:r>
      <w:r w:rsidRPr="00EF30C2">
        <w:rPr>
          <w:rFonts w:ascii="Arial" w:eastAsia="Times New Roman" w:hAnsi="Arial" w:cs="Arial"/>
          <w:color w:val="2F2F2F"/>
        </w:rPr>
        <w:lastRenderedPageBreak/>
        <w:t>acceleration of tidal streams on the shelf between the islands and mainland. The rate of delivery of tidal kinetic energy, or energy flux, is also referred to as tidal (kinetic) power. Tidal (kinetic) power is also greatest on the northern half of the Australian continental shelf, with many areas having more than 100 Watts per square metre (W/m2). The southern half of the Australian shelf (with the exception of Bass Strait) has relatively little tidal kinetic energy or power. The tidal kinetic energy delivered in a given time period, for example, in one year (total annual tidal kinetic energy), can be obtained by integrating the tidal (kinetic) power time series over one year.</w:t>
      </w:r>
    </w:p>
    <w:p w:rsidR="00EF30C2" w:rsidRPr="00EF30C2" w:rsidRDefault="00EF30C2" w:rsidP="00EF30C2">
      <w:pPr>
        <w:shd w:val="clear" w:color="auto" w:fill="FFFFFF"/>
        <w:spacing w:before="120" w:after="120" w:line="300" w:lineRule="atLeast"/>
        <w:rPr>
          <w:rFonts w:ascii="Arial" w:eastAsia="Times New Roman" w:hAnsi="Arial" w:cs="Arial"/>
          <w:color w:val="2F2F2F"/>
        </w:rPr>
      </w:pPr>
      <w:r w:rsidRPr="00EF30C2">
        <w:rPr>
          <w:rFonts w:ascii="Arial" w:eastAsia="Times New Roman" w:hAnsi="Arial" w:cs="Arial"/>
          <w:color w:val="2F2F2F"/>
        </w:rPr>
        <w:t>The best resourced jurisdictions are Western Australia, Queensland and the Northern Territory. Western Australia has locations off its coast where the average tidal (kinetic) power in water depths less than or equal to 50m exceed 6.1 kW per square metre (KW/m2), delivering a total tidal kinetic energy of over 195GJ/m2 annually.</w:t>
      </w:r>
    </w:p>
    <w:p w:rsidR="00EF30C2" w:rsidRPr="00EF30C2" w:rsidRDefault="00EF30C2" w:rsidP="00EF30C2">
      <w:pPr>
        <w:spacing w:before="120" w:after="120" w:line="300" w:lineRule="atLeast"/>
        <w:rPr>
          <w:rFonts w:ascii="Arial" w:hAnsi="Arial" w:cs="Arial"/>
          <w:b/>
        </w:rPr>
      </w:pPr>
      <w:r w:rsidRPr="00EF30C2">
        <w:rPr>
          <w:rFonts w:ascii="Arial" w:hAnsi="Arial" w:cs="Arial"/>
          <w:b/>
        </w:rPr>
        <w:t>Wave energy</w:t>
      </w:r>
    </w:p>
    <w:p w:rsidR="00EF30C2" w:rsidRPr="00EF30C2" w:rsidRDefault="00EF30C2" w:rsidP="00EF30C2">
      <w:pPr>
        <w:shd w:val="clear" w:color="auto" w:fill="FFFFFF"/>
        <w:spacing w:before="120" w:after="120" w:line="300" w:lineRule="atLeast"/>
        <w:rPr>
          <w:rFonts w:ascii="Arial" w:hAnsi="Arial" w:cs="Arial"/>
          <w:color w:val="2F2F2F"/>
        </w:rPr>
      </w:pPr>
      <w:r w:rsidRPr="00EF30C2">
        <w:rPr>
          <w:rFonts w:ascii="Arial" w:eastAsia="Times New Roman" w:hAnsi="Arial" w:cs="Arial"/>
          <w:color w:val="2F2F2F"/>
        </w:rPr>
        <w:t xml:space="preserve">Previous studies of Australia's wave climate have focused mainly on the energetic south-western, southern and south-eastern margins of the continent, but there has been no previous publicly available comprehensive national assessment of Australia's wave energy resources. The wave energy resource assessment presented here is based on wave data </w:t>
      </w:r>
      <w:proofErr w:type="spellStart"/>
      <w:r w:rsidRPr="00EF30C2">
        <w:rPr>
          <w:rFonts w:ascii="Arial" w:eastAsia="Times New Roman" w:hAnsi="Arial" w:cs="Arial"/>
          <w:color w:val="2F2F2F"/>
        </w:rPr>
        <w:t>hindcast</w:t>
      </w:r>
      <w:proofErr w:type="spellEnd"/>
      <w:r w:rsidRPr="00EF30C2">
        <w:rPr>
          <w:rFonts w:ascii="Arial" w:eastAsia="Times New Roman" w:hAnsi="Arial" w:cs="Arial"/>
          <w:color w:val="2F2F2F"/>
        </w:rPr>
        <w:t xml:space="preserve"> by the Bureau of Meteorology at 6-hourly intervals over an eleven year period from 24 090 locations evenly distributed over Australia's entire continental shelf (</w:t>
      </w:r>
      <w:proofErr w:type="spellStart"/>
      <w:r w:rsidRPr="00EF30C2">
        <w:rPr>
          <w:rFonts w:ascii="Arial" w:eastAsia="Times New Roman" w:hAnsi="Arial" w:cs="Arial"/>
          <w:color w:val="2F2F2F"/>
        </w:rPr>
        <w:t>Hasselmann</w:t>
      </w:r>
      <w:proofErr w:type="spellEnd"/>
      <w:r w:rsidRPr="00EF30C2">
        <w:rPr>
          <w:rFonts w:ascii="Arial" w:eastAsia="Times New Roman" w:hAnsi="Arial" w:cs="Arial"/>
          <w:color w:val="2F2F2F"/>
        </w:rPr>
        <w:t xml:space="preserve"> et al. 1988).</w:t>
      </w:r>
    </w:p>
    <w:p w:rsidR="00EF30C2" w:rsidRPr="00EF30C2" w:rsidRDefault="00EF30C2" w:rsidP="00EF30C2">
      <w:pPr>
        <w:shd w:val="clear" w:color="auto" w:fill="FFFFFF"/>
        <w:spacing w:before="120" w:after="120" w:line="300" w:lineRule="atLeast"/>
        <w:rPr>
          <w:rFonts w:ascii="Arial" w:hAnsi="Arial" w:cs="Arial"/>
          <w:color w:val="2F2F2F"/>
        </w:rPr>
      </w:pPr>
      <w:r w:rsidRPr="00EF30C2">
        <w:rPr>
          <w:rFonts w:ascii="Arial" w:eastAsia="Times New Roman" w:hAnsi="Arial" w:cs="Arial"/>
          <w:color w:val="2F2F2F"/>
        </w:rPr>
        <w:t xml:space="preserve">Several types of wave energy converters are presently available to generate electricity. The choice of converter technology places limits on the locations from which wave energy can be harvested. For example, the </w:t>
      </w:r>
      <w:proofErr w:type="spellStart"/>
      <w:r w:rsidRPr="00EF30C2">
        <w:rPr>
          <w:rFonts w:ascii="Arial" w:eastAsia="Times New Roman" w:hAnsi="Arial" w:cs="Arial"/>
          <w:color w:val="2F2F2F"/>
        </w:rPr>
        <w:t>Pelamis</w:t>
      </w:r>
      <w:proofErr w:type="spellEnd"/>
      <w:r w:rsidRPr="00EF30C2">
        <w:rPr>
          <w:rFonts w:ascii="Arial" w:eastAsia="Times New Roman" w:hAnsi="Arial" w:cs="Arial"/>
          <w:color w:val="2F2F2F"/>
        </w:rPr>
        <w:t xml:space="preserve"> device is capable of generating electricity in water depths of 60 to 80 metres, whereas CETO is suited to shallower water depths (15 to 50 metres). Given these considerations, and the transmission losses expected if a wave energy converter is too far from shore, this resource assessment is restricted to the wave energy present on Australia's continental shelf. The shelf is defined here as water depths less than 300 metres. The northern Australian shelf (i.e. above latitude 23 degrees south) is characterised by relatively low wave energy densities of generally less than 2.5kJ/m2. The southern Australian shelf, on the other hand, is characterised by energy densities of more than 2.5kJ/m2, with large areas of the shelf experiencing twice this value (e.g. western and southern Tasmania). Much of the southern Australian coastline experiences significant wave heights (in excess of 1m) virtually all of the time. The total wave energy on the entire Australian continental shelf at any one time, on average, is about 3.47PJ. The wave energy adjacent to each jurisdiction at any one time reflects both the area of shelf waters and the energy density in those waters. For example, Victoria and Tasmania have, on average, about the same total wave energy as the Northern Territory; however, it is concentrated in a smaller shelf area.</w:t>
      </w:r>
    </w:p>
    <w:p w:rsidR="00EF30C2" w:rsidRPr="00EF30C2" w:rsidRDefault="00EF30C2" w:rsidP="00EF30C2">
      <w:pPr>
        <w:shd w:val="clear" w:color="auto" w:fill="FFFFFF"/>
        <w:spacing w:before="120" w:after="120" w:line="300" w:lineRule="atLeast"/>
        <w:rPr>
          <w:rFonts w:ascii="Arial" w:hAnsi="Arial" w:cs="Arial"/>
          <w:color w:val="2F2F2F"/>
        </w:rPr>
      </w:pPr>
      <w:r w:rsidRPr="00EF30C2">
        <w:rPr>
          <w:rFonts w:ascii="Arial" w:eastAsia="Times New Roman" w:hAnsi="Arial" w:cs="Arial"/>
          <w:color w:val="2F2F2F"/>
        </w:rPr>
        <w:t>The shelf waters off Victoria and Tasmania are suitable sites for harvesting wave energy, whereas the shelf waters off the Northern Territory are not suitable, at least with existing technology. Consideration must also be given, however, to the rate at which useful energy can be delivered. In the case of tidal and wave energy resources, the lack of control over the timing, rate or level of delivery can impact significantly on their potential as an electricity source.</w:t>
      </w:r>
    </w:p>
    <w:p w:rsidR="00EF30C2" w:rsidRPr="00EF30C2" w:rsidRDefault="00EF30C2" w:rsidP="00EF30C2">
      <w:pPr>
        <w:shd w:val="clear" w:color="auto" w:fill="FFFFFF"/>
        <w:spacing w:before="120" w:after="120" w:line="300" w:lineRule="atLeast"/>
        <w:rPr>
          <w:rFonts w:ascii="Arial" w:hAnsi="Arial" w:cs="Arial"/>
          <w:color w:val="2F2F2F"/>
        </w:rPr>
      </w:pPr>
      <w:r w:rsidRPr="00EF30C2">
        <w:rPr>
          <w:rFonts w:ascii="Arial" w:eastAsia="Times New Roman" w:hAnsi="Arial" w:cs="Arial"/>
          <w:color w:val="2F2F2F"/>
        </w:rPr>
        <w:t>The rate of delivery of wave energy, or energy flux, is also referred to as wave power. Wave power is also greatest on the southern half of the Australian shelf, with 25–35kW/m being common on the outer shelf. Despite the fact that there is a considerable amount of energy on the northern half of the Australian shelf at any one time due to the large shelf area, the energy density and power or rate that the energy is delivered is small. For example, wave power off the Northern Territory shelf is typically less than 10kW/m and unsuitable for harvesting with current technologies.</w:t>
      </w:r>
    </w:p>
    <w:p w:rsidR="00CF624B" w:rsidRDefault="00EF30C2" w:rsidP="00CF624B">
      <w:pPr>
        <w:shd w:val="clear" w:color="auto" w:fill="FFFFFF"/>
        <w:spacing w:before="120" w:after="120" w:line="300" w:lineRule="atLeast"/>
        <w:rPr>
          <w:rFonts w:ascii="Arial" w:eastAsia="Times New Roman" w:hAnsi="Arial" w:cs="Arial"/>
          <w:color w:val="2F2F2F"/>
        </w:rPr>
      </w:pPr>
      <w:r w:rsidRPr="00EF30C2">
        <w:rPr>
          <w:rFonts w:ascii="Arial" w:eastAsia="Times New Roman" w:hAnsi="Arial" w:cs="Arial"/>
          <w:color w:val="2F2F2F"/>
        </w:rPr>
        <w:lastRenderedPageBreak/>
        <w:t>The states with the best wave energy resource are Western Australia, South Australia, Victoria and Tasmania. Tasmania is particularly well endowed with wave energy resources. There are locations off its coast where the average wave power in water depths less than or equal to 50m reach almost 35kW/m, delivering a total wave energy of 1100GJ/m annually.</w:t>
      </w:r>
    </w:p>
    <w:p w:rsidR="00CF624B" w:rsidRPr="00F22B31" w:rsidRDefault="00EF30C2" w:rsidP="00F22B31">
      <w:pPr>
        <w:shd w:val="clear" w:color="auto" w:fill="D3EC9E" w:themeFill="accent2"/>
        <w:spacing w:before="120" w:after="0" w:line="300" w:lineRule="atLeast"/>
        <w:rPr>
          <w:rFonts w:ascii="Arial" w:hAnsi="Arial" w:cs="Arial"/>
          <w:b/>
        </w:rPr>
      </w:pPr>
      <w:r w:rsidRPr="00EF30C2">
        <w:rPr>
          <w:rFonts w:ascii="Arial" w:hAnsi="Arial" w:cs="Arial"/>
          <w:b/>
        </w:rPr>
        <w:t>Wind energy</w:t>
      </w:r>
    </w:p>
    <w:p w:rsidR="00EF30C2" w:rsidRPr="00CF624B" w:rsidRDefault="00EF30C2" w:rsidP="00EF30C2">
      <w:pPr>
        <w:shd w:val="clear" w:color="auto" w:fill="FFFFFF"/>
        <w:spacing w:before="120" w:after="120" w:line="300" w:lineRule="atLeast"/>
        <w:rPr>
          <w:rFonts w:ascii="Arial" w:eastAsia="Times New Roman" w:hAnsi="Arial" w:cs="Arial"/>
          <w:color w:val="2F2F2F"/>
        </w:rPr>
      </w:pPr>
      <w:r w:rsidRPr="00EF30C2">
        <w:rPr>
          <w:rFonts w:ascii="Arial" w:eastAsia="Times New Roman" w:hAnsi="Arial" w:cs="Arial"/>
          <w:color w:val="2F2F2F"/>
        </w:rPr>
        <w:t>Wind is a vast potential source of renewable energy. Winds are generated by complex mechanisms involving the rotation of the Earth, the heat capacity of the Sun, the cooling effect of the oceans and polar ice caps, temperature gradients between land and sea, and the physical effects of mountains and other obstacles.</w:t>
      </w:r>
    </w:p>
    <w:p w:rsidR="00EF30C2" w:rsidRPr="00EF30C2" w:rsidRDefault="00EF30C2" w:rsidP="00EF30C2">
      <w:pPr>
        <w:shd w:val="clear" w:color="auto" w:fill="FFFFFF"/>
        <w:spacing w:before="120" w:after="120" w:line="300" w:lineRule="atLeast"/>
        <w:rPr>
          <w:rFonts w:ascii="Arial" w:hAnsi="Arial" w:cs="Arial"/>
          <w:color w:val="2F2F2F"/>
        </w:rPr>
      </w:pPr>
      <w:r w:rsidRPr="00EF30C2">
        <w:rPr>
          <w:rFonts w:ascii="Arial" w:eastAsia="Times New Roman" w:hAnsi="Arial" w:cs="Arial"/>
          <w:color w:val="2F2F2F"/>
        </w:rPr>
        <w:t>Wind energy is generated by converting wind currents into other forms of energy using wind turbines. Turbines extract energy from the passing air by converting kinetic energy from rotational movement via a rotor. The effectiveness of this conversion at any given site is commonly measured by its energy density or, alternatively, as a capacity factor. Wind energy is primarily used for electricity generation, both onsite and for transport to the grid. Wind energy is also used to pump bore water, particularly in rural areas.</w:t>
      </w:r>
    </w:p>
    <w:p w:rsidR="00EF30C2" w:rsidRPr="00CF624B" w:rsidRDefault="00EF30C2" w:rsidP="00CF624B">
      <w:pPr>
        <w:shd w:val="clear" w:color="auto" w:fill="FFFFFF"/>
        <w:spacing w:before="120" w:after="120" w:line="300" w:lineRule="atLeast"/>
        <w:rPr>
          <w:rFonts w:ascii="Arial" w:eastAsia="Times New Roman" w:hAnsi="Arial" w:cs="Arial"/>
          <w:color w:val="2F2F2F"/>
        </w:rPr>
      </w:pPr>
      <w:r w:rsidRPr="00EF30C2">
        <w:rPr>
          <w:rFonts w:ascii="Arial" w:eastAsia="Times New Roman" w:hAnsi="Arial" w:cs="Arial"/>
          <w:color w:val="2F2F2F"/>
        </w:rPr>
        <w:t>The wind energy industry is the fastest growing renewable energy source in many countries and is expected to continue to grow rapidly over the period to 2030. Production of wind energy is largely concentrated in Europe and the United States. However, there has also been rapid growth in the wind energy industries in China and India.</w:t>
      </w:r>
    </w:p>
    <w:p w:rsidR="00EF30C2" w:rsidRPr="00CF624B" w:rsidRDefault="00EF30C2" w:rsidP="00EF30C2">
      <w:pPr>
        <w:spacing w:before="120" w:after="120" w:line="300" w:lineRule="atLeast"/>
        <w:rPr>
          <w:rFonts w:ascii="Arial" w:hAnsi="Arial" w:cs="Arial"/>
          <w:b/>
        </w:rPr>
      </w:pPr>
      <w:r w:rsidRPr="00EF30C2">
        <w:rPr>
          <w:rFonts w:ascii="Arial" w:hAnsi="Arial" w:cs="Arial"/>
          <w:b/>
        </w:rPr>
        <w:t>World wind energy resources</w:t>
      </w:r>
    </w:p>
    <w:p w:rsidR="00EF30C2" w:rsidRPr="00EF30C2" w:rsidRDefault="00EF30C2" w:rsidP="00EF30C2">
      <w:pPr>
        <w:shd w:val="clear" w:color="auto" w:fill="FFFFFF"/>
        <w:spacing w:before="120" w:after="120" w:line="300" w:lineRule="atLeast"/>
        <w:rPr>
          <w:rFonts w:ascii="Arial" w:hAnsi="Arial" w:cs="Arial"/>
          <w:color w:val="2F2F2F"/>
        </w:rPr>
      </w:pPr>
      <w:r w:rsidRPr="00EF30C2">
        <w:rPr>
          <w:rFonts w:ascii="Arial" w:eastAsia="Times New Roman" w:hAnsi="Arial" w:cs="Arial"/>
          <w:color w:val="2F2F2F"/>
        </w:rPr>
        <w:t>The world's wind energy resource is estimated to be about one million GW for total land coverage. Assuming only 1 per cent of the area is utilised and allowance is made for the lower load factors of wind plant, the wind energy potential would correspond to around the world total electricity generation capacity (WEC 2007).</w:t>
      </w:r>
    </w:p>
    <w:p w:rsidR="00EF30C2" w:rsidRPr="00EF30C2" w:rsidRDefault="00EF30C2" w:rsidP="00EF30C2">
      <w:pPr>
        <w:shd w:val="clear" w:color="auto" w:fill="FFFFFF"/>
        <w:spacing w:before="120" w:after="120" w:line="300" w:lineRule="atLeast"/>
        <w:rPr>
          <w:rFonts w:ascii="Arial" w:hAnsi="Arial" w:cs="Arial"/>
          <w:color w:val="2F2F2F"/>
        </w:rPr>
      </w:pPr>
      <w:r w:rsidRPr="00EF30C2">
        <w:rPr>
          <w:rFonts w:ascii="Arial" w:eastAsia="Times New Roman" w:hAnsi="Arial" w:cs="Arial"/>
          <w:color w:val="2F2F2F"/>
        </w:rPr>
        <w:t xml:space="preserve">The windiest areas are typically coastal regions of continents at mid-to high latitudes and in mountainous regions. Locations with the highest wind energy potential include the westerly wind belts between latitudes 35? </w:t>
      </w:r>
      <w:proofErr w:type="gramStart"/>
      <w:r w:rsidRPr="00EF30C2">
        <w:rPr>
          <w:rFonts w:ascii="Arial" w:eastAsia="Times New Roman" w:hAnsi="Arial" w:cs="Arial"/>
          <w:color w:val="2F2F2F"/>
        </w:rPr>
        <w:t>and</w:t>
      </w:r>
      <w:proofErr w:type="gramEnd"/>
      <w:r w:rsidRPr="00EF30C2">
        <w:rPr>
          <w:rFonts w:ascii="Arial" w:eastAsia="Times New Roman" w:hAnsi="Arial" w:cs="Arial"/>
          <w:color w:val="2F2F2F"/>
        </w:rPr>
        <w:t xml:space="preserve"> 50?. This includes the coastal regions of western and southern Australia, New Zealand, southern South America, and South Africa in the southern hemisphere, and northern and western Europe, and the north eastern and western coasts of Canada and the United States. These regions are generally characterised by high, relatively constant wind conditions, with average wind speeds in excess of 6 metres per second (m/s) and, in places, more than 9m/s.</w:t>
      </w:r>
    </w:p>
    <w:p w:rsidR="00EF30C2" w:rsidRPr="00EF30C2" w:rsidRDefault="00EF30C2" w:rsidP="00EF30C2">
      <w:pPr>
        <w:shd w:val="clear" w:color="auto" w:fill="FFFFFF"/>
        <w:spacing w:before="120" w:after="120" w:line="300" w:lineRule="atLeast"/>
        <w:rPr>
          <w:rFonts w:ascii="Arial" w:hAnsi="Arial" w:cs="Arial"/>
          <w:color w:val="2F2F2F"/>
        </w:rPr>
      </w:pPr>
      <w:r w:rsidRPr="00EF30C2">
        <w:rPr>
          <w:rFonts w:ascii="Arial" w:eastAsia="Times New Roman" w:hAnsi="Arial" w:cs="Arial"/>
          <w:color w:val="2F2F2F"/>
        </w:rPr>
        <w:t>Regions with high wind energy potential are characterised by:</w:t>
      </w:r>
    </w:p>
    <w:p w:rsidR="00EF30C2" w:rsidRPr="00EF30C2" w:rsidRDefault="00EF30C2" w:rsidP="00CF624B">
      <w:pPr>
        <w:pStyle w:val="ListParagraph"/>
        <w:numPr>
          <w:ilvl w:val="0"/>
          <w:numId w:val="7"/>
        </w:numPr>
        <w:shd w:val="clear" w:color="auto" w:fill="FFFFFF"/>
        <w:tabs>
          <w:tab w:val="clear" w:pos="720"/>
        </w:tabs>
        <w:spacing w:before="120" w:after="120" w:line="300" w:lineRule="atLeast"/>
        <w:ind w:left="426"/>
        <w:contextualSpacing w:val="0"/>
        <w:rPr>
          <w:rFonts w:ascii="Arial" w:eastAsia="Times New Roman" w:hAnsi="Arial" w:cs="Arial"/>
          <w:color w:val="2F2F2F"/>
        </w:rPr>
      </w:pPr>
      <w:r w:rsidRPr="00EF30C2">
        <w:rPr>
          <w:rFonts w:ascii="Arial" w:eastAsia="Times New Roman" w:hAnsi="Arial" w:cs="Arial"/>
          <w:color w:val="2F2F2F"/>
        </w:rPr>
        <w:t>high average wind speeds;</w:t>
      </w:r>
    </w:p>
    <w:p w:rsidR="00EF30C2" w:rsidRPr="00EF30C2" w:rsidRDefault="00EF30C2" w:rsidP="00CF624B">
      <w:pPr>
        <w:pStyle w:val="ListParagraph"/>
        <w:numPr>
          <w:ilvl w:val="0"/>
          <w:numId w:val="7"/>
        </w:numPr>
        <w:shd w:val="clear" w:color="auto" w:fill="FFFFFF"/>
        <w:tabs>
          <w:tab w:val="clear" w:pos="720"/>
        </w:tabs>
        <w:spacing w:before="120" w:after="120" w:line="300" w:lineRule="atLeast"/>
        <w:ind w:left="426"/>
        <w:contextualSpacing w:val="0"/>
        <w:rPr>
          <w:rFonts w:ascii="Arial" w:eastAsia="Times New Roman" w:hAnsi="Arial" w:cs="Arial"/>
          <w:color w:val="2F2F2F"/>
        </w:rPr>
      </w:pPr>
      <w:r w:rsidRPr="00EF30C2">
        <w:rPr>
          <w:rFonts w:ascii="Arial" w:eastAsia="Times New Roman" w:hAnsi="Arial" w:cs="Arial"/>
          <w:color w:val="2F2F2F"/>
        </w:rPr>
        <w:t>winds that are either constant or coinciding with peak energy consumption periods (during the day or evening);</w:t>
      </w:r>
    </w:p>
    <w:p w:rsidR="00EF30C2" w:rsidRPr="00EF30C2" w:rsidRDefault="00EF30C2" w:rsidP="00CF624B">
      <w:pPr>
        <w:pStyle w:val="ListParagraph"/>
        <w:numPr>
          <w:ilvl w:val="0"/>
          <w:numId w:val="7"/>
        </w:numPr>
        <w:shd w:val="clear" w:color="auto" w:fill="FFFFFF"/>
        <w:tabs>
          <w:tab w:val="clear" w:pos="720"/>
        </w:tabs>
        <w:spacing w:before="120" w:after="120" w:line="300" w:lineRule="atLeast"/>
        <w:ind w:left="426"/>
        <w:contextualSpacing w:val="0"/>
        <w:rPr>
          <w:rFonts w:ascii="Arial" w:eastAsia="Times New Roman" w:hAnsi="Arial" w:cs="Arial"/>
          <w:color w:val="2F2F2F"/>
        </w:rPr>
      </w:pPr>
      <w:r w:rsidRPr="00EF30C2">
        <w:rPr>
          <w:rFonts w:ascii="Arial" w:eastAsia="Times New Roman" w:hAnsi="Arial" w:cs="Arial"/>
          <w:color w:val="2F2F2F"/>
        </w:rPr>
        <w:t>proximity to a major energy consumption region (i.e. urban/industrial areas); and</w:t>
      </w:r>
    </w:p>
    <w:p w:rsidR="00EF30C2" w:rsidRPr="00CF624B" w:rsidRDefault="00EF30C2" w:rsidP="00CF624B">
      <w:pPr>
        <w:pStyle w:val="ListParagraph"/>
        <w:numPr>
          <w:ilvl w:val="0"/>
          <w:numId w:val="7"/>
        </w:numPr>
        <w:shd w:val="clear" w:color="auto" w:fill="FFFFFF"/>
        <w:tabs>
          <w:tab w:val="clear" w:pos="720"/>
        </w:tabs>
        <w:spacing w:before="120" w:after="120" w:line="300" w:lineRule="atLeast"/>
        <w:ind w:left="426"/>
        <w:contextualSpacing w:val="0"/>
        <w:rPr>
          <w:rFonts w:ascii="Arial" w:eastAsia="Times New Roman" w:hAnsi="Arial" w:cs="Arial"/>
          <w:color w:val="2F2F2F"/>
        </w:rPr>
      </w:pPr>
      <w:proofErr w:type="gramStart"/>
      <w:r w:rsidRPr="00EF30C2">
        <w:rPr>
          <w:rFonts w:ascii="Arial" w:eastAsia="Times New Roman" w:hAnsi="Arial" w:cs="Arial"/>
          <w:color w:val="2F2F2F"/>
        </w:rPr>
        <w:t>smooth</w:t>
      </w:r>
      <w:proofErr w:type="gramEnd"/>
      <w:r w:rsidRPr="00EF30C2">
        <w:rPr>
          <w:rFonts w:ascii="Arial" w:eastAsia="Times New Roman" w:hAnsi="Arial" w:cs="Arial"/>
          <w:color w:val="2F2F2F"/>
        </w:rPr>
        <w:t xml:space="preserve"> landscape, which increases wind speeds, and reduces the mechanical stress on wind turbine components that results from variable and turbulent wind conditions associated with rough landscape.</w:t>
      </w:r>
    </w:p>
    <w:p w:rsidR="00EF30C2" w:rsidRPr="00CF624B" w:rsidRDefault="00EF30C2" w:rsidP="00CF624B">
      <w:pPr>
        <w:shd w:val="clear" w:color="auto" w:fill="FFFFFF"/>
        <w:spacing w:before="120" w:after="120" w:line="300" w:lineRule="atLeast"/>
        <w:rPr>
          <w:rFonts w:ascii="Arial" w:eastAsia="Times New Roman" w:hAnsi="Arial" w:cs="Arial"/>
          <w:color w:val="2F2F2F"/>
        </w:rPr>
      </w:pPr>
      <w:r w:rsidRPr="00EF30C2">
        <w:rPr>
          <w:rFonts w:ascii="Arial" w:eastAsia="Times New Roman" w:hAnsi="Arial" w:cs="Arial"/>
          <w:color w:val="2F2F2F"/>
        </w:rPr>
        <w:t xml:space="preserve">Because of wind variability, the energy density at a potential site - commonly described as its capacity factor - is generally in the range of 20-40 per cent. While the majority of areas in locations convenient for electricity transfer to the grid are located onshore, offshore sites have also been </w:t>
      </w:r>
      <w:r w:rsidRPr="00EF30C2">
        <w:rPr>
          <w:rFonts w:ascii="Arial" w:eastAsia="Times New Roman" w:hAnsi="Arial" w:cs="Arial"/>
          <w:color w:val="2F2F2F"/>
        </w:rPr>
        <w:lastRenderedPageBreak/>
        <w:t>identified as having significant potential for wind energy, both to take advantage of increased wind speeds and to increase the number of available sites. Offshore locations also help reduce turbulence and hence stress on machine components. There have been wind turbines deployed in shallow seas off northern Europe for more than a decade. Offshore sites are expected to make an increasingly significant contribution to electricity generation in some countries, notably in Europe, where there are increasing difficulties in gaining access to onshore sites.</w:t>
      </w:r>
    </w:p>
    <w:p w:rsidR="00EF30C2" w:rsidRPr="00CF624B" w:rsidRDefault="00EF30C2" w:rsidP="00EF30C2">
      <w:pPr>
        <w:spacing w:before="120" w:after="120" w:line="300" w:lineRule="atLeast"/>
        <w:rPr>
          <w:rFonts w:ascii="Arial" w:hAnsi="Arial" w:cs="Arial"/>
          <w:b/>
        </w:rPr>
      </w:pPr>
      <w:r w:rsidRPr="00EF30C2">
        <w:rPr>
          <w:rFonts w:ascii="Arial" w:hAnsi="Arial" w:cs="Arial"/>
          <w:b/>
        </w:rPr>
        <w:t>Australia's wind energy resources</w:t>
      </w:r>
    </w:p>
    <w:p w:rsidR="00EF30C2" w:rsidRPr="00EF30C2" w:rsidRDefault="00EF30C2" w:rsidP="00EF30C2">
      <w:pPr>
        <w:pStyle w:val="NormalWeb"/>
        <w:shd w:val="clear" w:color="auto" w:fill="FFFFFF"/>
        <w:spacing w:before="120" w:beforeAutospacing="0" w:after="120" w:afterAutospacing="0" w:line="300" w:lineRule="atLeast"/>
        <w:rPr>
          <w:rFonts w:ascii="Arial" w:hAnsi="Arial" w:cs="Arial"/>
          <w:color w:val="2F2F2F"/>
          <w:sz w:val="22"/>
          <w:szCs w:val="22"/>
        </w:rPr>
      </w:pPr>
      <w:r w:rsidRPr="00EF30C2">
        <w:rPr>
          <w:rFonts w:ascii="Arial" w:hAnsi="Arial" w:cs="Arial"/>
          <w:color w:val="2F2F2F"/>
          <w:sz w:val="22"/>
          <w:szCs w:val="22"/>
        </w:rPr>
        <w:t xml:space="preserve">Australia has some of the best wind resources in the world. Australia's wind energy resources are located mainly in the southern parts of the continent (which lie in the path of the westerly wind flow known as the 'roaring 40s') and reach a maximum around Bass </w:t>
      </w:r>
      <w:proofErr w:type="gramStart"/>
      <w:r w:rsidRPr="00EF30C2">
        <w:rPr>
          <w:rFonts w:ascii="Arial" w:hAnsi="Arial" w:cs="Arial"/>
          <w:color w:val="2F2F2F"/>
          <w:sz w:val="22"/>
          <w:szCs w:val="22"/>
        </w:rPr>
        <w:t>Strait .</w:t>
      </w:r>
      <w:proofErr w:type="gramEnd"/>
      <w:r w:rsidRPr="00EF30C2">
        <w:rPr>
          <w:rFonts w:ascii="Arial" w:hAnsi="Arial" w:cs="Arial"/>
          <w:color w:val="2F2F2F"/>
          <w:sz w:val="22"/>
          <w:szCs w:val="22"/>
        </w:rPr>
        <w:t xml:space="preserve"> The largest wind resource is generated by the passage of low pressure and associated frontal systems whose northerly extent and influence depends on the size of the frontal system. Winds in northern Australia are predominantly generated by the monsoon and trade wind systems. Large-scale topography such as the Great Dividing Range in eastern Australia exert significant steering effects on the winds, channelling them through major valleys or deflecting or blocking them from other areas (</w:t>
      </w:r>
      <w:proofErr w:type="spellStart"/>
      <w:r w:rsidRPr="00EF30C2">
        <w:rPr>
          <w:rFonts w:ascii="Arial" w:hAnsi="Arial" w:cs="Arial"/>
          <w:color w:val="2F2F2F"/>
          <w:sz w:val="22"/>
          <w:szCs w:val="22"/>
        </w:rPr>
        <w:t>Coppin</w:t>
      </w:r>
      <w:proofErr w:type="spellEnd"/>
      <w:r w:rsidRPr="00EF30C2">
        <w:rPr>
          <w:rFonts w:ascii="Arial" w:hAnsi="Arial" w:cs="Arial"/>
          <w:color w:val="2F2F2F"/>
          <w:sz w:val="22"/>
          <w:szCs w:val="22"/>
        </w:rPr>
        <w:t xml:space="preserve"> et al. 2003).</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rPr>
      </w:pPr>
      <w:r w:rsidRPr="00EF30C2">
        <w:rPr>
          <w:rFonts w:ascii="Arial" w:hAnsi="Arial" w:cs="Arial"/>
          <w:color w:val="2F2F2F"/>
          <w:sz w:val="22"/>
          <w:szCs w:val="22"/>
        </w:rPr>
        <w:t>Deflection of weaker fronts from frontal refraction around the ranges of the Divide in south eastern Australia creates winds with a southerly component ('southerly busters') along the east coast. In addition to the refractions by topography and heat lows over northern Australia, other major factors influencing wind resources are seasonal and diurnal variation in wind speed. Winds are strongest in winter and spring in western and southern Australia but the monthly behaviour differs from region to region. Variations in average monthly wind speed of up to 15-20 per cent over the long term annual average are not uncommon. There may be similar daily variations at individual locations, with increased wind speeds in the afternoon (</w:t>
      </w:r>
      <w:proofErr w:type="spellStart"/>
      <w:r w:rsidRPr="00EF30C2">
        <w:rPr>
          <w:rFonts w:ascii="Arial" w:hAnsi="Arial" w:cs="Arial"/>
          <w:color w:val="2F2F2F"/>
          <w:sz w:val="22"/>
          <w:szCs w:val="22"/>
        </w:rPr>
        <w:t>Coppin</w:t>
      </w:r>
      <w:proofErr w:type="spellEnd"/>
      <w:r w:rsidRPr="00EF30C2">
        <w:rPr>
          <w:rFonts w:ascii="Arial" w:hAnsi="Arial" w:cs="Arial"/>
          <w:color w:val="2F2F2F"/>
          <w:sz w:val="22"/>
          <w:szCs w:val="22"/>
        </w:rPr>
        <w:t xml:space="preserve"> et al. 2003).</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rPr>
      </w:pPr>
      <w:proofErr w:type="spellStart"/>
      <w:r w:rsidRPr="00EF30C2">
        <w:rPr>
          <w:rFonts w:ascii="Arial" w:hAnsi="Arial" w:cs="Arial"/>
          <w:color w:val="2F2F2F"/>
          <w:sz w:val="22"/>
          <w:szCs w:val="22"/>
        </w:rPr>
        <w:t>Meso</w:t>
      </w:r>
      <w:proofErr w:type="spellEnd"/>
      <w:r w:rsidRPr="00EF30C2">
        <w:rPr>
          <w:rFonts w:ascii="Arial" w:hAnsi="Arial" w:cs="Arial"/>
          <w:color w:val="2F2F2F"/>
          <w:sz w:val="22"/>
          <w:szCs w:val="22"/>
        </w:rPr>
        <w:t xml:space="preserve">-scale maps show that Australia's greatest wind potential lies in the coastal regions of western, south-western, southern and south-eastern Australia. Coastal regions with high wind resources (wind speeds above 7.5m/s) include the west coast south of Shark Bay to Cape Leeuwin, along the Great Australian Bight and the Eyre Peninsula in South Australia, to western Victoria and the west coast of Tasmania. Good wind resources extend hundreds of kilometres inland and many of Australia's wind farms (current and planned) are located some distance from the coast. Inland regions of Western Australia, South Australia and western Victoria all have good wind resources. Areas with high wind potential also </w:t>
      </w:r>
      <w:proofErr w:type="gramStart"/>
      <w:r w:rsidRPr="00EF30C2">
        <w:rPr>
          <w:rFonts w:ascii="Arial" w:hAnsi="Arial" w:cs="Arial"/>
          <w:color w:val="2F2F2F"/>
          <w:sz w:val="22"/>
          <w:szCs w:val="22"/>
        </w:rPr>
        <w:t>lie</w:t>
      </w:r>
      <w:proofErr w:type="gramEnd"/>
      <w:r w:rsidRPr="00EF30C2">
        <w:rPr>
          <w:rFonts w:ascii="Arial" w:hAnsi="Arial" w:cs="Arial"/>
          <w:color w:val="2F2F2F"/>
          <w:sz w:val="22"/>
          <w:szCs w:val="22"/>
        </w:rPr>
        <w:t xml:space="preserve"> along the higher exposed parts of the Great Dividing Range in south-eastern Australia, such as the Southern Highlands and New England areas.</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rPr>
      </w:pPr>
      <w:r w:rsidRPr="00EF30C2">
        <w:rPr>
          <w:rFonts w:ascii="Arial" w:hAnsi="Arial" w:cs="Arial"/>
          <w:color w:val="2F2F2F"/>
          <w:sz w:val="22"/>
          <w:szCs w:val="22"/>
        </w:rPr>
        <w:t>The New South Wales Wind Atlas (Sustainable Energy Development Authority, NSW 2002) shows that the areas with the highest wind energy potential lie along the higher exposed parts of the Great Dividing Range and very close to the coast except where there is significant local sheltering by the escarpment. The best sites result from a combination of elevation, local topography and orientation to the prevailing wind. Significantly, the map shows that some inland sites have average wind speeds comparable with those in coastal areas of southern Australia.</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rPr>
      </w:pPr>
      <w:r w:rsidRPr="00EF30C2">
        <w:rPr>
          <w:rFonts w:ascii="Arial" w:hAnsi="Arial" w:cs="Arial"/>
          <w:color w:val="2F2F2F"/>
          <w:sz w:val="22"/>
          <w:szCs w:val="22"/>
        </w:rPr>
        <w:t xml:space="preserve">The Victorian Wind Atlas (Sustainable Energy Authority Victoria 2003), shows a modelled average wind speed of 6.5m/s across the state with the highest average wind speeds (&gt; 7m/s) found in coastal, central and alpine regions of Victoria (figure 9.8). The atlas also presents modelled average wind speed data in relation to land title (national parks, other public land and freehold land), land use and proximity to the electricity network. Effective wind resources are defined as those located within a commercially viable distance from the electricity network. The atlas </w:t>
      </w:r>
      <w:r w:rsidRPr="00EF30C2">
        <w:rPr>
          <w:rFonts w:ascii="Arial" w:hAnsi="Arial" w:cs="Arial"/>
          <w:color w:val="2F2F2F"/>
          <w:sz w:val="22"/>
          <w:szCs w:val="22"/>
        </w:rPr>
        <w:lastRenderedPageBreak/>
        <w:t>delineates corridors within 10 and 30km of the network. It presents wind resource maps for each of the local government areas in relation to the electricity network according to land title.</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rPr>
      </w:pPr>
      <w:r w:rsidRPr="00EF30C2">
        <w:rPr>
          <w:rFonts w:ascii="Arial" w:hAnsi="Arial" w:cs="Arial"/>
          <w:color w:val="2F2F2F"/>
          <w:sz w:val="22"/>
          <w:szCs w:val="22"/>
        </w:rPr>
        <w:t>Local topography and other variability in the local terrain such as surface roughness exert a major influence on wind speed and wind variability. Wind speed varies with height and with the shape and roughness of the terrain. Wind speed decreases with an increasingly rough surface cover, but can be accelerated over steep hills, reaching a maximum at the crest and then separating into zones of turbulent air flow. There are also thermal effects and funnelling which need to be considered when assessing wind resources. All of these effects impact on capacity factors (</w:t>
      </w:r>
      <w:proofErr w:type="spellStart"/>
      <w:r w:rsidRPr="00EF30C2">
        <w:rPr>
          <w:rFonts w:ascii="Arial" w:hAnsi="Arial" w:cs="Arial"/>
          <w:color w:val="2F2F2F"/>
          <w:sz w:val="22"/>
          <w:szCs w:val="22"/>
        </w:rPr>
        <w:t>Coppin</w:t>
      </w:r>
      <w:proofErr w:type="spellEnd"/>
      <w:r w:rsidRPr="00EF30C2">
        <w:rPr>
          <w:rFonts w:ascii="Arial" w:hAnsi="Arial" w:cs="Arial"/>
          <w:color w:val="2F2F2F"/>
          <w:sz w:val="22"/>
          <w:szCs w:val="22"/>
        </w:rPr>
        <w:t xml:space="preserve"> et al. 2003; ESIPC 2005). Australia's high capacity factors reflect the large development potential.</w:t>
      </w:r>
    </w:p>
    <w:p w:rsidR="00CF624B" w:rsidRDefault="00EF30C2" w:rsidP="00EF30C2">
      <w:pPr>
        <w:spacing w:before="120" w:after="120" w:line="300" w:lineRule="atLeast"/>
        <w:rPr>
          <w:rFonts w:ascii="Arial" w:hAnsi="Arial" w:cs="Arial"/>
        </w:rPr>
      </w:pPr>
      <w:r w:rsidRPr="00EF30C2">
        <w:rPr>
          <w:rFonts w:ascii="Arial" w:hAnsi="Arial" w:cs="Arial"/>
          <w:color w:val="2F2F2F"/>
        </w:rPr>
        <w:t xml:space="preserve">Because of these factors </w:t>
      </w:r>
      <w:proofErr w:type="spellStart"/>
      <w:r w:rsidRPr="00EF30C2">
        <w:rPr>
          <w:rFonts w:ascii="Arial" w:hAnsi="Arial" w:cs="Arial"/>
          <w:color w:val="2F2F2F"/>
        </w:rPr>
        <w:t>meso</w:t>
      </w:r>
      <w:proofErr w:type="spellEnd"/>
      <w:r w:rsidRPr="00EF30C2">
        <w:rPr>
          <w:rFonts w:ascii="Arial" w:hAnsi="Arial" w:cs="Arial"/>
          <w:color w:val="2F2F2F"/>
        </w:rPr>
        <w:t>-scale maps such as figure 9.8 do not account for fine-scale topographical accelerations of the flow. In particular, the effect of any topographical feature smaller than 3km is unlikely to be accounted for. In mountainous country, topographical accelerations (and decelerations) because of these finer scale features commonly exceed 20 per cent. As such, these maps are useful only for preliminary selection of sites: detailed assessment of wind energy resources for potential wind farm location sites requires integration of high quality monitoring measurements with a micro-scale model of wind flow incorporating the effects of topography and terrain roughness.</w:t>
      </w:r>
    </w:p>
    <w:p w:rsidR="00CF624B" w:rsidRDefault="00CF624B" w:rsidP="00CF624B">
      <w:pPr>
        <w:shd w:val="clear" w:color="auto" w:fill="D3EC9E" w:themeFill="accent2"/>
        <w:spacing w:before="120" w:after="120" w:line="300" w:lineRule="atLeast"/>
        <w:rPr>
          <w:rFonts w:ascii="Arial" w:hAnsi="Arial" w:cs="Arial"/>
        </w:rPr>
      </w:pPr>
      <w:r>
        <w:rPr>
          <w:rFonts w:ascii="Arial" w:hAnsi="Arial" w:cs="Arial"/>
          <w:b/>
        </w:rPr>
        <w:t>Bioenergy</w:t>
      </w:r>
    </w:p>
    <w:p w:rsidR="00EF30C2" w:rsidRPr="00CF624B" w:rsidRDefault="00EF30C2" w:rsidP="00CF624B">
      <w:pPr>
        <w:spacing w:before="120" w:after="120" w:line="300" w:lineRule="atLeast"/>
        <w:rPr>
          <w:rFonts w:ascii="Arial" w:hAnsi="Arial" w:cs="Arial"/>
        </w:rPr>
      </w:pPr>
      <w:r w:rsidRPr="00EF30C2">
        <w:rPr>
          <w:rFonts w:ascii="Arial" w:eastAsia="Times New Roman" w:hAnsi="Arial" w:cs="Arial"/>
          <w:color w:val="2F2F2F"/>
        </w:rPr>
        <w:t>Bioenergy denotes the use of organic material (biomass) as a source of energy for power (or electricity) generation and direct source heat applications in all energy sectors including domestic, commercial and industrial purposes as well as the production of liquid fuels for transport.</w:t>
      </w:r>
    </w:p>
    <w:p w:rsidR="00EF30C2" w:rsidRPr="00EF30C2" w:rsidRDefault="00EF30C2" w:rsidP="00EF30C2">
      <w:pPr>
        <w:shd w:val="clear" w:color="auto" w:fill="FFFFFF"/>
        <w:spacing w:before="120" w:after="120" w:line="300" w:lineRule="atLeast"/>
        <w:rPr>
          <w:rFonts w:ascii="Arial" w:hAnsi="Arial" w:cs="Arial"/>
          <w:color w:val="2F2F2F"/>
        </w:rPr>
      </w:pPr>
      <w:r w:rsidRPr="00EF30C2">
        <w:rPr>
          <w:rFonts w:ascii="Arial" w:eastAsia="Times New Roman" w:hAnsi="Arial" w:cs="Arial"/>
          <w:color w:val="2F2F2F"/>
        </w:rPr>
        <w:t>Bioenergy is a form of renewable energy. Biomass releases carbon dioxide (CO</w:t>
      </w:r>
      <w:r w:rsidRPr="00EF30C2">
        <w:rPr>
          <w:rFonts w:ascii="Arial" w:eastAsia="Times New Roman" w:hAnsi="Arial" w:cs="Arial"/>
          <w:color w:val="2F2F2F"/>
          <w:vertAlign w:val="subscript"/>
        </w:rPr>
        <w:t>2</w:t>
      </w:r>
      <w:r w:rsidRPr="00EF30C2">
        <w:rPr>
          <w:rFonts w:ascii="Arial" w:eastAsia="Times New Roman" w:hAnsi="Arial" w:cs="Arial"/>
          <w:color w:val="2F2F2F"/>
        </w:rPr>
        <w:t>) and small amounts of other greenhouse gases when it is converted into another form of energy. However CO</w:t>
      </w:r>
      <w:r w:rsidRPr="00EF30C2">
        <w:rPr>
          <w:rFonts w:ascii="Arial" w:eastAsia="Times New Roman" w:hAnsi="Arial" w:cs="Arial"/>
          <w:color w:val="2F2F2F"/>
          <w:vertAlign w:val="subscript"/>
        </w:rPr>
        <w:t>2</w:t>
      </w:r>
      <w:r w:rsidRPr="00EF30C2">
        <w:rPr>
          <w:rFonts w:ascii="Arial" w:eastAsia="Times New Roman" w:hAnsi="Arial" w:cs="Arial"/>
          <w:color w:val="2F2F2F"/>
        </w:rPr>
        <w:t> is absorbed during the regrowth of the restored vegetation (biomass) through photosynthesis process.</w:t>
      </w:r>
    </w:p>
    <w:p w:rsidR="00EF30C2" w:rsidRPr="00EF30C2" w:rsidRDefault="00EF30C2" w:rsidP="00EF30C2">
      <w:pPr>
        <w:shd w:val="clear" w:color="auto" w:fill="FFFFFF"/>
        <w:spacing w:before="120" w:after="120" w:line="300" w:lineRule="atLeast"/>
        <w:rPr>
          <w:rFonts w:ascii="Arial" w:hAnsi="Arial" w:cs="Arial"/>
          <w:color w:val="2F2F2F"/>
        </w:rPr>
      </w:pPr>
      <w:r w:rsidRPr="00EF30C2">
        <w:rPr>
          <w:rFonts w:ascii="Arial" w:eastAsia="Times New Roman" w:hAnsi="Arial" w:cs="Arial"/>
          <w:color w:val="2F2F2F"/>
        </w:rPr>
        <w:t>Biomass is vegetable and animal derived organic materials, which are grown, collected or harvested for energy. Examples include wood waste, bagasse (sugar cane residues) and animal fats.</w:t>
      </w:r>
    </w:p>
    <w:p w:rsidR="00EF30C2" w:rsidRPr="00EF30C2" w:rsidRDefault="00EF30C2" w:rsidP="00EF30C2">
      <w:pPr>
        <w:shd w:val="clear" w:color="auto" w:fill="FFFFFF"/>
        <w:spacing w:before="120" w:after="120" w:line="300" w:lineRule="atLeast"/>
        <w:rPr>
          <w:rFonts w:ascii="Arial" w:hAnsi="Arial" w:cs="Arial"/>
          <w:color w:val="2F2F2F"/>
        </w:rPr>
      </w:pPr>
      <w:r w:rsidRPr="00EF30C2">
        <w:rPr>
          <w:rFonts w:ascii="Arial" w:eastAsia="Times New Roman" w:hAnsi="Arial" w:cs="Arial"/>
          <w:color w:val="2F2F2F"/>
        </w:rPr>
        <w:t>A conventional combustion process converts solid biomass through direct burning to release energy in the form of heat which can be used to generate electricity and heat. Chemical conversion processes breaks down the biomass into fuels, in the form of biogas or liquid biofuels, which are then used for electricity generation and transport.</w:t>
      </w:r>
    </w:p>
    <w:p w:rsidR="00EF30C2" w:rsidRPr="00EF30C2" w:rsidRDefault="00EF30C2" w:rsidP="00EF30C2">
      <w:pPr>
        <w:shd w:val="clear" w:color="auto" w:fill="FFFFFF"/>
        <w:spacing w:before="120" w:after="120" w:line="300" w:lineRule="atLeast"/>
        <w:rPr>
          <w:rFonts w:ascii="Arial" w:hAnsi="Arial" w:cs="Arial"/>
          <w:color w:val="2F2F2F"/>
        </w:rPr>
      </w:pPr>
      <w:r w:rsidRPr="00EF30C2">
        <w:rPr>
          <w:rFonts w:ascii="Arial" w:eastAsia="Times New Roman" w:hAnsi="Arial" w:cs="Arial"/>
          <w:color w:val="2F2F2F"/>
        </w:rPr>
        <w:t>Biogas is composed principally of methane and CO</w:t>
      </w:r>
      <w:r w:rsidRPr="00EF30C2">
        <w:rPr>
          <w:rFonts w:ascii="Arial" w:eastAsia="Times New Roman" w:hAnsi="Arial" w:cs="Arial"/>
          <w:color w:val="2F2F2F"/>
          <w:vertAlign w:val="subscript"/>
        </w:rPr>
        <w:t>2</w:t>
      </w:r>
      <w:r w:rsidRPr="00EF30C2">
        <w:rPr>
          <w:rFonts w:ascii="Arial" w:eastAsia="Times New Roman" w:hAnsi="Arial" w:cs="Arial"/>
          <w:color w:val="2F2F2F"/>
        </w:rPr>
        <w:t> produced by anaerobic digestion of biomass. It is currently captured from landfill sites, sewage treatment plants, livestock feedlots and agricultural wastes.</w:t>
      </w:r>
    </w:p>
    <w:p w:rsidR="00EF30C2" w:rsidRPr="00EF30C2" w:rsidRDefault="00EF30C2" w:rsidP="00EF30C2">
      <w:pPr>
        <w:shd w:val="clear" w:color="auto" w:fill="FFFFFF"/>
        <w:spacing w:before="120" w:after="120" w:line="300" w:lineRule="atLeast"/>
        <w:rPr>
          <w:rFonts w:ascii="Arial" w:hAnsi="Arial" w:cs="Arial"/>
          <w:color w:val="2F2F2F"/>
        </w:rPr>
      </w:pPr>
      <w:r w:rsidRPr="00EF30C2">
        <w:rPr>
          <w:rFonts w:ascii="Arial" w:eastAsia="Times New Roman" w:hAnsi="Arial" w:cs="Arial"/>
          <w:color w:val="2F2F2F"/>
        </w:rPr>
        <w:t>Biofuels are liquid fuels, produced by chemical conversion processes that result in the production of ethanol and biodiesel. Biofuels can be broadly grouped according to the conversion processes:</w:t>
      </w:r>
    </w:p>
    <w:p w:rsidR="00CF624B" w:rsidRDefault="00EF30C2" w:rsidP="00CF624B">
      <w:pPr>
        <w:pStyle w:val="ListParagraph"/>
        <w:numPr>
          <w:ilvl w:val="0"/>
          <w:numId w:val="6"/>
        </w:numPr>
        <w:shd w:val="clear" w:color="auto" w:fill="FFFFFF"/>
        <w:spacing w:before="120" w:after="120" w:line="300" w:lineRule="atLeast"/>
        <w:contextualSpacing w:val="0"/>
        <w:rPr>
          <w:rFonts w:ascii="Arial" w:eastAsia="Times New Roman" w:hAnsi="Arial" w:cs="Arial"/>
          <w:color w:val="2F2F2F"/>
        </w:rPr>
      </w:pPr>
      <w:r w:rsidRPr="00EF30C2">
        <w:rPr>
          <w:rFonts w:ascii="Arial" w:eastAsia="Times New Roman" w:hAnsi="Arial" w:cs="Arial"/>
          <w:color w:val="2F2F2F"/>
        </w:rPr>
        <w:t>First generation biofuels are based on fermentation and distillation of ethanol from sugar and starch crops or chemical conversion of vegetable oils and animal fats to produce biodiesel. First generation technologies are proven and are currently used at a commercial scale.</w:t>
      </w:r>
    </w:p>
    <w:p w:rsidR="00CF624B" w:rsidRDefault="00CF624B">
      <w:pPr>
        <w:rPr>
          <w:rFonts w:ascii="Arial" w:eastAsia="Times New Roman" w:hAnsi="Arial" w:cs="Arial"/>
          <w:color w:val="2F2F2F"/>
        </w:rPr>
      </w:pPr>
      <w:r>
        <w:rPr>
          <w:rFonts w:ascii="Arial" w:eastAsia="Times New Roman" w:hAnsi="Arial" w:cs="Arial"/>
          <w:color w:val="2F2F2F"/>
        </w:rPr>
        <w:br w:type="page"/>
      </w:r>
    </w:p>
    <w:p w:rsidR="00EF30C2" w:rsidRPr="00EF30C2" w:rsidRDefault="00EF30C2" w:rsidP="00EF30C2">
      <w:pPr>
        <w:pStyle w:val="ListParagraph"/>
        <w:numPr>
          <w:ilvl w:val="0"/>
          <w:numId w:val="6"/>
        </w:numPr>
        <w:shd w:val="clear" w:color="auto" w:fill="FFFFFF"/>
        <w:spacing w:before="120" w:after="120" w:line="300" w:lineRule="atLeast"/>
        <w:contextualSpacing w:val="0"/>
        <w:rPr>
          <w:rFonts w:ascii="Arial" w:eastAsia="Times New Roman" w:hAnsi="Arial" w:cs="Arial"/>
          <w:color w:val="2F2F2F"/>
        </w:rPr>
      </w:pPr>
      <w:r w:rsidRPr="00EF30C2">
        <w:rPr>
          <w:rFonts w:ascii="Arial" w:eastAsia="Times New Roman" w:hAnsi="Arial" w:cs="Arial"/>
          <w:color w:val="2F2F2F"/>
        </w:rPr>
        <w:lastRenderedPageBreak/>
        <w:t>Second generation biofuels use biochemical or thermochemical processes to convert lignocellulosic material (non-edible fibrous or woody portions of plants) and algae to biofuels. Second generation technologies and biomass feedstocks are in the research, development and demonstration (RD&amp;D) stage.</w:t>
      </w:r>
    </w:p>
    <w:p w:rsidR="00EF30C2" w:rsidRPr="00CF624B" w:rsidRDefault="00EF30C2" w:rsidP="00EF30C2">
      <w:pPr>
        <w:pStyle w:val="ListParagraph"/>
        <w:numPr>
          <w:ilvl w:val="0"/>
          <w:numId w:val="6"/>
        </w:numPr>
        <w:shd w:val="clear" w:color="auto" w:fill="FFFFFF"/>
        <w:spacing w:before="120" w:after="120" w:line="300" w:lineRule="atLeast"/>
        <w:contextualSpacing w:val="0"/>
        <w:rPr>
          <w:rFonts w:ascii="Arial" w:eastAsia="Times New Roman" w:hAnsi="Arial" w:cs="Arial"/>
          <w:color w:val="2F2F2F"/>
        </w:rPr>
      </w:pPr>
      <w:r w:rsidRPr="00EF30C2">
        <w:rPr>
          <w:rFonts w:ascii="Arial" w:eastAsia="Times New Roman" w:hAnsi="Arial" w:cs="Arial"/>
          <w:color w:val="2F2F2F"/>
        </w:rPr>
        <w:t xml:space="preserve">Third generation biofuels are in research and development (R&amp;D) and comprise integrated </w:t>
      </w:r>
      <w:proofErr w:type="spellStart"/>
      <w:r w:rsidRPr="00EF30C2">
        <w:rPr>
          <w:rFonts w:ascii="Arial" w:eastAsia="Times New Roman" w:hAnsi="Arial" w:cs="Arial"/>
          <w:color w:val="2F2F2F"/>
        </w:rPr>
        <w:t>biorefineries</w:t>
      </w:r>
      <w:proofErr w:type="spellEnd"/>
      <w:r w:rsidRPr="00EF30C2">
        <w:rPr>
          <w:rFonts w:ascii="Arial" w:eastAsia="Times New Roman" w:hAnsi="Arial" w:cs="Arial"/>
          <w:color w:val="2F2F2F"/>
        </w:rPr>
        <w:t xml:space="preserve"> for producing biofuels, electricity generation and </w:t>
      </w:r>
      <w:proofErr w:type="spellStart"/>
      <w:r w:rsidRPr="00EF30C2">
        <w:rPr>
          <w:rFonts w:ascii="Arial" w:eastAsia="Times New Roman" w:hAnsi="Arial" w:cs="Arial"/>
          <w:color w:val="2F2F2F"/>
        </w:rPr>
        <w:t>bioproducts</w:t>
      </w:r>
      <w:proofErr w:type="spellEnd"/>
      <w:r w:rsidRPr="00EF30C2">
        <w:rPr>
          <w:rFonts w:ascii="Arial" w:eastAsia="Times New Roman" w:hAnsi="Arial" w:cs="Arial"/>
          <w:color w:val="2F2F2F"/>
        </w:rPr>
        <w:t xml:space="preserve"> (such as petrochemical replacements).</w:t>
      </w:r>
    </w:p>
    <w:p w:rsidR="00EF30C2" w:rsidRPr="00CF624B" w:rsidRDefault="00EF30C2" w:rsidP="00EF30C2">
      <w:pPr>
        <w:spacing w:before="120" w:after="120" w:line="300" w:lineRule="atLeast"/>
        <w:rPr>
          <w:rFonts w:ascii="Arial" w:hAnsi="Arial" w:cs="Arial"/>
          <w:b/>
        </w:rPr>
      </w:pPr>
      <w:r w:rsidRPr="00EF30C2">
        <w:rPr>
          <w:rFonts w:ascii="Arial" w:hAnsi="Arial" w:cs="Arial"/>
          <w:b/>
        </w:rPr>
        <w:t>World bioenergy resources</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rPr>
      </w:pPr>
      <w:r w:rsidRPr="00EF30C2">
        <w:rPr>
          <w:rFonts w:ascii="Arial" w:hAnsi="Arial" w:cs="Arial"/>
          <w:color w:val="2F2F2F"/>
          <w:sz w:val="22"/>
          <w:szCs w:val="22"/>
        </w:rPr>
        <w:t>Around 10 per cent of the world's primary energy consumption comes from bioenergy. The share of bioenergy in primary energy consumption is higher in non-OECD countries than in OECD countries. In Australia, the bioenergy share is comparable to the OECD average, at around 4 per cent. The majority of the world's bioenergy is used directly for heat production through the burning of solid biomass; only 4 per cent is used for electricity generation and another 2.5 per cent is in the form of biofuels used in the transport sector.</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rPr>
      </w:pPr>
      <w:r w:rsidRPr="00EF30C2">
        <w:rPr>
          <w:rFonts w:ascii="Arial" w:hAnsi="Arial" w:cs="Arial"/>
          <w:color w:val="2F2F2F"/>
          <w:sz w:val="22"/>
          <w:szCs w:val="22"/>
        </w:rPr>
        <w:t xml:space="preserve">Global bioenergy resources are difficult to quantify due to the resources being committed to food, animal feed and material for construction. The availability of biomass for energy is also influenced by population growth, diet, agricultural intensity, environmental impacts, climate change, </w:t>
      </w:r>
      <w:proofErr w:type="gramStart"/>
      <w:r w:rsidRPr="00EF30C2">
        <w:rPr>
          <w:rFonts w:ascii="Arial" w:hAnsi="Arial" w:cs="Arial"/>
          <w:color w:val="2F2F2F"/>
          <w:sz w:val="22"/>
          <w:szCs w:val="22"/>
        </w:rPr>
        <w:t>water</w:t>
      </w:r>
      <w:proofErr w:type="gramEnd"/>
      <w:r w:rsidRPr="00EF30C2">
        <w:rPr>
          <w:rFonts w:ascii="Arial" w:hAnsi="Arial" w:cs="Arial"/>
          <w:color w:val="2F2F2F"/>
          <w:sz w:val="22"/>
          <w:szCs w:val="22"/>
        </w:rPr>
        <w:t xml:space="preserve"> and land availability (IEA Bioenergy</w:t>
      </w:r>
      <w:r w:rsidRPr="00EF30C2">
        <w:rPr>
          <w:rStyle w:val="apple-converted-space"/>
          <w:rFonts w:ascii="Arial" w:hAnsi="Arial" w:cs="Arial"/>
          <w:color w:val="2F2F2F"/>
          <w:sz w:val="22"/>
          <w:szCs w:val="22"/>
        </w:rPr>
        <w:t> </w:t>
      </w:r>
      <w:r w:rsidRPr="00EF30C2">
        <w:rPr>
          <w:rFonts w:ascii="Arial" w:hAnsi="Arial" w:cs="Arial"/>
          <w:color w:val="2F2F2F"/>
          <w:sz w:val="22"/>
          <w:szCs w:val="22"/>
        </w:rPr>
        <w:t>2008).</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rPr>
      </w:pPr>
      <w:r w:rsidRPr="00EF30C2">
        <w:rPr>
          <w:rFonts w:ascii="Arial" w:hAnsi="Arial" w:cs="Arial"/>
          <w:color w:val="2F2F2F"/>
          <w:sz w:val="22"/>
          <w:szCs w:val="22"/>
        </w:rPr>
        <w:t>Current bioenergy resources consist of residues from forestry and agriculture, various organic waste streams and dedicated biomass production from pasture land, wood plantations and sugar cane. Unused residues and waste are a significant underexploited resource.</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rPr>
      </w:pPr>
      <w:r w:rsidRPr="00EF30C2">
        <w:rPr>
          <w:rFonts w:ascii="Arial" w:hAnsi="Arial" w:cs="Arial"/>
          <w:color w:val="2F2F2F"/>
          <w:sz w:val="22"/>
          <w:szCs w:val="22"/>
        </w:rPr>
        <w:t xml:space="preserve">At present, the main biomass feedstocks for electricity and heat generation are forestry and agricultural residues and municipal waste in cogeneration and co-firing power plants. In 2007, fuel wood dominates (67 per cent) the share of biomass sources in the bioenergy mix. Fuel wood is used in residential applications in inefficient stoves for domestic heating and cooking, which is also considered a major health issue in developing countries (IEA Bioenergy 2009). This traditional use is expected to grow with increasing </w:t>
      </w:r>
      <w:proofErr w:type="gramStart"/>
      <w:r w:rsidRPr="00EF30C2">
        <w:rPr>
          <w:rFonts w:ascii="Arial" w:hAnsi="Arial" w:cs="Arial"/>
          <w:color w:val="2F2F2F"/>
          <w:sz w:val="22"/>
          <w:szCs w:val="22"/>
        </w:rPr>
        <w:t>population,</w:t>
      </w:r>
      <w:proofErr w:type="gramEnd"/>
      <w:r w:rsidRPr="00EF30C2">
        <w:rPr>
          <w:rFonts w:ascii="Arial" w:hAnsi="Arial" w:cs="Arial"/>
          <w:color w:val="2F2F2F"/>
          <w:sz w:val="22"/>
          <w:szCs w:val="22"/>
        </w:rPr>
        <w:t xml:space="preserve"> however there is scope to improve efficiency and environmental performance.</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rPr>
      </w:pPr>
      <w:r w:rsidRPr="00EF30C2">
        <w:rPr>
          <w:rFonts w:ascii="Arial" w:hAnsi="Arial" w:cs="Arial"/>
          <w:color w:val="2F2F2F"/>
          <w:sz w:val="22"/>
          <w:szCs w:val="22"/>
        </w:rPr>
        <w:t>The main growth markets for power generation from bioenergy are the European Union, North America, Central and Eastern Europe and Southeast Asia (IEA Bioenergy 2007). China continues to increase power generation from industry-scale biogas (mainly livestock farms) and straw from agricultural residues. The sugar industry in many developing countries continues to build bagasse-fuelled power plants (REN21 2009).</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rPr>
      </w:pPr>
      <w:r w:rsidRPr="00EF30C2">
        <w:rPr>
          <w:rFonts w:ascii="Arial" w:hAnsi="Arial" w:cs="Arial"/>
          <w:color w:val="2F2F2F"/>
          <w:sz w:val="22"/>
          <w:szCs w:val="22"/>
        </w:rPr>
        <w:t>A small share of sugar, grain and vegetable oil crops is used for the production of biofuels. There is increasing interest in transport biofuels in Europe, Brazil, North America, Japan, China and India (IEA Bioenergy 2007). There is potential to expand the use of conventional crops for energy; however careful consideration of land availability and food demand is required.</w:t>
      </w:r>
    </w:p>
    <w:p w:rsidR="00EF30C2" w:rsidRPr="00CF624B" w:rsidRDefault="00EF30C2" w:rsidP="00CF624B">
      <w:pPr>
        <w:pStyle w:val="NormalWeb"/>
        <w:shd w:val="clear" w:color="auto" w:fill="FFFFFF"/>
        <w:spacing w:before="120" w:beforeAutospacing="0" w:after="120" w:afterAutospacing="0" w:line="300" w:lineRule="atLeast"/>
        <w:rPr>
          <w:rFonts w:ascii="Arial" w:hAnsi="Arial" w:cs="Arial"/>
          <w:color w:val="2F2F2F"/>
          <w:sz w:val="22"/>
          <w:szCs w:val="22"/>
        </w:rPr>
      </w:pPr>
      <w:r w:rsidRPr="00EF30C2">
        <w:rPr>
          <w:rFonts w:ascii="Arial" w:hAnsi="Arial" w:cs="Arial"/>
          <w:color w:val="2F2F2F"/>
          <w:sz w:val="22"/>
          <w:szCs w:val="22"/>
        </w:rPr>
        <w:t>There is a mature commercial market for first generation biofuels. Biofuels from commercially available technology are more prospective in regions where energy crop production is feasible: for example, sugar cane in subtropical areas of South America and sub-Saharan Africa, and sugar beet in more temperate regions such as the United States, Argentina and Europe. In the longer term, lignocellulosic crops could provide bioenergy resources for second generation biofuels which are considered more sustainable, provide land use opportunities and will reduce the competition with food crops.</w:t>
      </w:r>
    </w:p>
    <w:p w:rsidR="00EF30C2" w:rsidRPr="00CF624B" w:rsidRDefault="00EF30C2" w:rsidP="00EF30C2">
      <w:pPr>
        <w:spacing w:before="120" w:after="120" w:line="300" w:lineRule="atLeast"/>
        <w:rPr>
          <w:rFonts w:ascii="Arial" w:hAnsi="Arial" w:cs="Arial"/>
          <w:b/>
        </w:rPr>
      </w:pPr>
      <w:r w:rsidRPr="00EF30C2">
        <w:rPr>
          <w:rFonts w:ascii="Arial" w:hAnsi="Arial" w:cs="Arial"/>
          <w:b/>
        </w:rPr>
        <w:lastRenderedPageBreak/>
        <w:t>Australia's bioenergy resources</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rPr>
      </w:pPr>
      <w:r w:rsidRPr="00EF30C2">
        <w:rPr>
          <w:rFonts w:ascii="Arial" w:hAnsi="Arial" w:cs="Arial"/>
          <w:color w:val="2F2F2F"/>
          <w:sz w:val="22"/>
          <w:szCs w:val="22"/>
        </w:rPr>
        <w:t>There is a range of bioenergy resources (feedstocks) available for multiple conversion technologies to generate electricity and heat and produce biofuels. Bioenergy resources are difficult to estimate due to their multiple and competing uses. There are production statistics for current commodities such as grain, sugar, pulp wood and saw logs; however these commodities are currently largely committed to food, animal feed and materials markets. They could be switched to the bioenergy market in certain conditions, but this may not be the highest order use for them.</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rPr>
      </w:pPr>
      <w:r w:rsidRPr="00EF30C2">
        <w:rPr>
          <w:rFonts w:ascii="Arial" w:hAnsi="Arial" w:cs="Arial"/>
          <w:color w:val="2F2F2F"/>
          <w:sz w:val="22"/>
          <w:szCs w:val="22"/>
        </w:rPr>
        <w:t>Australia's potential bioenergy resources are large. There are under-utilised resources in crop residues, plantation and forest residues and waste streams. There is a significant expansion into a new range of non-edible biomass feedstocks with the development of second generation technologies. Potential feedstocks of the future include modifying existing crops, growing of new tree crops and algae.</w:t>
      </w:r>
    </w:p>
    <w:p w:rsidR="00EF30C2" w:rsidRPr="00EF30C2" w:rsidRDefault="00EF30C2" w:rsidP="00EF30C2">
      <w:pPr>
        <w:pStyle w:val="NormalWeb"/>
        <w:shd w:val="clear" w:color="auto" w:fill="FFFFFF"/>
        <w:spacing w:before="120" w:beforeAutospacing="0" w:after="120" w:afterAutospacing="0" w:line="300" w:lineRule="atLeast"/>
        <w:rPr>
          <w:rFonts w:ascii="Arial" w:eastAsiaTheme="minorEastAsia" w:hAnsi="Arial" w:cs="Arial"/>
          <w:color w:val="2F2F2F"/>
          <w:sz w:val="22"/>
          <w:szCs w:val="22"/>
        </w:rPr>
      </w:pPr>
      <w:r w:rsidRPr="00EF30C2">
        <w:rPr>
          <w:rFonts w:ascii="Arial" w:hAnsi="Arial" w:cs="Arial"/>
          <w:color w:val="2F2F2F"/>
          <w:sz w:val="22"/>
          <w:szCs w:val="22"/>
        </w:rPr>
        <w:t xml:space="preserve">There are many factors to be taken into account for each bioenergy resource, such as moisture content, resource location and distribution, and type of conversion process. Different sources of biomass have very different production systems and therefore can involve a variety of sustainability issues. These range from very positive benefits (e.g. use of waste material, or growing woody biomass on degraded agricultural land) through to large scale diversion of high input agricultural food crops for biofuels (O'Connell et al. 2009). There is also a range of potential impacts on the resources including drought, flood, fire, </w:t>
      </w:r>
      <w:proofErr w:type="gramStart"/>
      <w:r w:rsidRPr="00EF30C2">
        <w:rPr>
          <w:rFonts w:ascii="Arial" w:hAnsi="Arial" w:cs="Arial"/>
          <w:color w:val="2F2F2F"/>
          <w:sz w:val="22"/>
          <w:szCs w:val="22"/>
        </w:rPr>
        <w:t>climate</w:t>
      </w:r>
      <w:proofErr w:type="gramEnd"/>
      <w:r w:rsidRPr="00EF30C2">
        <w:rPr>
          <w:rFonts w:ascii="Arial" w:hAnsi="Arial" w:cs="Arial"/>
          <w:color w:val="2F2F2F"/>
          <w:sz w:val="22"/>
          <w:szCs w:val="22"/>
        </w:rPr>
        <w:t xml:space="preserve"> change and energy prices. Future biomass feedstocks from agricultural production are dependent on whether production areas expand or reduce or yields increase.</w:t>
      </w:r>
    </w:p>
    <w:p w:rsidR="00EF30C2" w:rsidRPr="00CF624B" w:rsidRDefault="00EF30C2" w:rsidP="00CF624B">
      <w:pPr>
        <w:pStyle w:val="NormalWeb"/>
        <w:shd w:val="clear" w:color="auto" w:fill="FFFFFF"/>
        <w:spacing w:before="120" w:beforeAutospacing="0" w:after="120" w:afterAutospacing="0" w:line="300" w:lineRule="atLeast"/>
        <w:rPr>
          <w:rFonts w:ascii="Arial" w:hAnsi="Arial" w:cs="Arial"/>
          <w:color w:val="2F2F2F"/>
          <w:sz w:val="22"/>
          <w:szCs w:val="22"/>
        </w:rPr>
      </w:pPr>
      <w:r w:rsidRPr="00EF30C2">
        <w:rPr>
          <w:rFonts w:ascii="Arial" w:hAnsi="Arial" w:cs="Arial"/>
          <w:color w:val="2F2F2F"/>
          <w:sz w:val="22"/>
          <w:szCs w:val="22"/>
        </w:rPr>
        <w:t>The proportion of biomass potentially available will depend on the value of biomass relative to competing uses, impact of their removal (retention of biomass in situ returns nutrients to soil, improves soil structure and moisture retention), and global oil prices. The right economic conditions may result in some of the biomass potentially being used for bioenergy production. Depending on the price point, biomass may be diverted to biofuels or electricity generation - sawmill residues otherwise sold for garden products, for example, or pulpwood chipped and exported or used for paper production may be diverted to bioenergy if it is a higher value product.</w:t>
      </w:r>
    </w:p>
    <w:p w:rsidR="00EF30C2" w:rsidRPr="00EF30C2" w:rsidRDefault="00EF30C2" w:rsidP="00CF624B">
      <w:pPr>
        <w:shd w:val="clear" w:color="auto" w:fill="D3EC9E" w:themeFill="accent2"/>
        <w:spacing w:before="120" w:after="120" w:line="300" w:lineRule="atLeast"/>
        <w:rPr>
          <w:rFonts w:ascii="Arial" w:hAnsi="Arial" w:cs="Arial"/>
          <w:b/>
        </w:rPr>
      </w:pPr>
      <w:r w:rsidRPr="00EF30C2">
        <w:rPr>
          <w:rFonts w:ascii="Arial" w:hAnsi="Arial" w:cs="Arial"/>
          <w:b/>
        </w:rPr>
        <w:t>References</w:t>
      </w:r>
    </w:p>
    <w:p w:rsidR="00EF30C2" w:rsidRPr="00CF624B" w:rsidRDefault="00EF30C2" w:rsidP="00EF30C2">
      <w:pPr>
        <w:pStyle w:val="ListParagraph"/>
        <w:numPr>
          <w:ilvl w:val="0"/>
          <w:numId w:val="10"/>
        </w:numPr>
        <w:spacing w:before="120" w:after="120" w:line="300" w:lineRule="atLeast"/>
        <w:contextualSpacing w:val="0"/>
        <w:rPr>
          <w:rFonts w:ascii="Arial" w:hAnsi="Arial" w:cs="Arial"/>
        </w:rPr>
      </w:pPr>
      <w:r w:rsidRPr="00EF30C2">
        <w:rPr>
          <w:rFonts w:ascii="Arial" w:hAnsi="Arial" w:cs="Arial"/>
        </w:rPr>
        <w:t>IEA Bioenergy 2007, IEA energy technology essentials: Biomass for power generation and CHP, OECD/IEA, Paris, January</w:t>
      </w:r>
    </w:p>
    <w:p w:rsidR="00EF30C2" w:rsidRPr="00CF624B" w:rsidRDefault="00EF30C2" w:rsidP="00EF30C2">
      <w:pPr>
        <w:pStyle w:val="ListParagraph"/>
        <w:numPr>
          <w:ilvl w:val="0"/>
          <w:numId w:val="10"/>
        </w:numPr>
        <w:spacing w:before="120" w:after="120" w:line="300" w:lineRule="atLeast"/>
        <w:contextualSpacing w:val="0"/>
        <w:rPr>
          <w:rFonts w:ascii="Arial" w:hAnsi="Arial" w:cs="Arial"/>
        </w:rPr>
      </w:pPr>
      <w:r w:rsidRPr="00EF30C2">
        <w:rPr>
          <w:rFonts w:ascii="Arial" w:hAnsi="Arial" w:cs="Arial"/>
        </w:rPr>
        <w:t>2.IEA Bioenergy 2008, Energy technology perspectives 2008, OECD/IEA, Paris</w:t>
      </w:r>
    </w:p>
    <w:p w:rsidR="00EF30C2" w:rsidRPr="00CF624B" w:rsidRDefault="00EF30C2" w:rsidP="00EF30C2">
      <w:pPr>
        <w:pStyle w:val="ListParagraph"/>
        <w:numPr>
          <w:ilvl w:val="0"/>
          <w:numId w:val="10"/>
        </w:numPr>
        <w:spacing w:before="120" w:after="120" w:line="300" w:lineRule="atLeast"/>
        <w:contextualSpacing w:val="0"/>
        <w:rPr>
          <w:rFonts w:ascii="Arial" w:hAnsi="Arial" w:cs="Arial"/>
        </w:rPr>
      </w:pPr>
      <w:r w:rsidRPr="00EF30C2">
        <w:rPr>
          <w:rFonts w:ascii="Arial" w:hAnsi="Arial" w:cs="Arial"/>
        </w:rPr>
        <w:t>3.IEA Bioenergy 2009, World energy balances 2009, OECD/IEA, Paris</w:t>
      </w:r>
    </w:p>
    <w:p w:rsidR="00EF30C2" w:rsidRPr="00EF30C2" w:rsidRDefault="00EF30C2" w:rsidP="00EF30C2">
      <w:pPr>
        <w:pStyle w:val="ListParagraph"/>
        <w:numPr>
          <w:ilvl w:val="0"/>
          <w:numId w:val="10"/>
        </w:numPr>
        <w:spacing w:before="120" w:after="120" w:line="300" w:lineRule="atLeast"/>
        <w:contextualSpacing w:val="0"/>
        <w:rPr>
          <w:rFonts w:ascii="Arial" w:hAnsi="Arial" w:cs="Arial"/>
        </w:rPr>
      </w:pPr>
      <w:r w:rsidRPr="00EF30C2">
        <w:rPr>
          <w:rFonts w:ascii="Arial" w:hAnsi="Arial" w:cs="Arial"/>
        </w:rPr>
        <w:t xml:space="preserve">4.O'Connell D, Braid A, Raison J, </w:t>
      </w:r>
      <w:proofErr w:type="spellStart"/>
      <w:r w:rsidRPr="00EF30C2">
        <w:rPr>
          <w:rFonts w:ascii="Arial" w:hAnsi="Arial" w:cs="Arial"/>
        </w:rPr>
        <w:t>Handberg</w:t>
      </w:r>
      <w:proofErr w:type="spellEnd"/>
      <w:r w:rsidRPr="00EF30C2">
        <w:rPr>
          <w:rFonts w:ascii="Arial" w:hAnsi="Arial" w:cs="Arial"/>
        </w:rPr>
        <w:t xml:space="preserve"> K, Cowie A, Rodriguez L and George B, 2009a, Sustainable production of bioenergy; A review of global bioenergy sustainability frameworks and assessment systems, RIRDC </w:t>
      </w:r>
      <w:r w:rsidRPr="00EF30C2">
        <w:rPr>
          <w:rFonts w:ascii="Arial" w:hAnsi="Arial" w:cs="Arial"/>
          <w:color w:val="A6A6A6" w:themeColor="background1" w:themeShade="A6"/>
        </w:rPr>
        <w:t xml:space="preserve">http://www.rirdc.gov.au/ </w:t>
      </w:r>
      <w:r w:rsidRPr="00EF30C2">
        <w:rPr>
          <w:rFonts w:ascii="Arial" w:hAnsi="Arial" w:cs="Arial"/>
        </w:rPr>
        <w:t>Publication No09/167, Rural Industries Research and Development Corporation and CSIRO, Canberra, November</w:t>
      </w:r>
    </w:p>
    <w:p w:rsidR="00EF30C2" w:rsidRPr="00EF30C2" w:rsidRDefault="00EF30C2" w:rsidP="00EF30C2">
      <w:pPr>
        <w:pStyle w:val="ListParagraph"/>
        <w:numPr>
          <w:ilvl w:val="0"/>
          <w:numId w:val="10"/>
        </w:numPr>
        <w:spacing w:before="120" w:after="120" w:line="300" w:lineRule="atLeast"/>
        <w:contextualSpacing w:val="0"/>
        <w:rPr>
          <w:rFonts w:ascii="Arial" w:hAnsi="Arial" w:cs="Arial"/>
        </w:rPr>
      </w:pPr>
      <w:r w:rsidRPr="00EF30C2">
        <w:rPr>
          <w:rFonts w:ascii="Arial" w:hAnsi="Arial" w:cs="Arial"/>
        </w:rPr>
        <w:t>5.REN21 2009, 2009, Renewables Global Status Report: 2009 Update</w:t>
      </w:r>
    </w:p>
    <w:p w:rsidR="00697793" w:rsidRPr="00CF624B" w:rsidRDefault="00697793" w:rsidP="00CF624B">
      <w:pPr>
        <w:pStyle w:val="Default"/>
        <w:spacing w:before="240" w:after="120"/>
        <w:rPr>
          <w:color w:val="A6A6A6" w:themeColor="background1" w:themeShade="A6"/>
          <w:sz w:val="18"/>
          <w:szCs w:val="22"/>
          <w:lang w:val="en-US" w:eastAsia="en-US"/>
        </w:rPr>
      </w:pPr>
      <w:r w:rsidRPr="00CF624B">
        <w:rPr>
          <w:sz w:val="18"/>
          <w:szCs w:val="22"/>
        </w:rPr>
        <w:t xml:space="preserve">Source: </w:t>
      </w:r>
      <w:r w:rsidRPr="00CF624B">
        <w:rPr>
          <w:i/>
          <w:sz w:val="18"/>
          <w:szCs w:val="22"/>
          <w:lang w:eastAsia="en-US"/>
        </w:rPr>
        <w:t>Other renewable energy resources</w:t>
      </w:r>
      <w:r w:rsidRPr="00CF624B">
        <w:rPr>
          <w:sz w:val="18"/>
          <w:szCs w:val="22"/>
          <w:lang w:eastAsia="en-US"/>
        </w:rPr>
        <w:t xml:space="preserve"> </w:t>
      </w:r>
      <w:r w:rsidRPr="00CF624B">
        <w:rPr>
          <w:color w:val="2F2F2F"/>
          <w:sz w:val="18"/>
          <w:szCs w:val="22"/>
          <w:shd w:val="clear" w:color="auto" w:fill="FFFFFF"/>
        </w:rPr>
        <w:t>© Commonwealth of Australia (Geoscience Australia) 2015</w:t>
      </w:r>
      <w:r w:rsidRPr="00CF624B">
        <w:rPr>
          <w:color w:val="808080" w:themeColor="background1" w:themeShade="80"/>
          <w:sz w:val="18"/>
          <w:szCs w:val="22"/>
          <w:lang w:eastAsia="en-US"/>
        </w:rPr>
        <w:t xml:space="preserve"> </w:t>
      </w:r>
      <w:r w:rsidRPr="00CF624B">
        <w:rPr>
          <w:color w:val="A6A6A6" w:themeColor="background1" w:themeShade="A6"/>
          <w:sz w:val="18"/>
          <w:szCs w:val="22"/>
          <w:lang w:val="en-US" w:eastAsia="en-US"/>
        </w:rPr>
        <w:t>http://www.ga.gov.au/energy/other-renewable-energy-resources.html</w:t>
      </w:r>
      <w:r w:rsidRPr="00CF624B">
        <w:rPr>
          <w:color w:val="A6A6A6" w:themeColor="background1" w:themeShade="A6"/>
          <w:sz w:val="18"/>
          <w:szCs w:val="22"/>
          <w:lang w:eastAsia="en-US"/>
        </w:rPr>
        <w:t xml:space="preserve"> </w:t>
      </w:r>
      <w:r w:rsidR="003715F3" w:rsidRPr="00CF624B">
        <w:rPr>
          <w:color w:val="A6A6A6"/>
          <w:sz w:val="18"/>
          <w:szCs w:val="22"/>
          <w:lang w:eastAsia="en-US"/>
        </w:rPr>
        <w:br/>
      </w:r>
      <w:r w:rsidRPr="00CF624B">
        <w:rPr>
          <w:color w:val="auto"/>
          <w:sz w:val="18"/>
          <w:szCs w:val="22"/>
          <w:lang w:val="en-US" w:eastAsia="en-US"/>
        </w:rPr>
        <w:t xml:space="preserve">CC BY 4.0 </w:t>
      </w:r>
      <w:r w:rsidR="003715F3" w:rsidRPr="00CF624B">
        <w:rPr>
          <w:color w:val="A6A6A6" w:themeColor="background1" w:themeShade="A6"/>
          <w:sz w:val="18"/>
          <w:szCs w:val="22"/>
          <w:lang w:val="en-US" w:eastAsia="en-US"/>
        </w:rPr>
        <w:t>http://</w:t>
      </w:r>
      <w:r w:rsidRPr="00CF624B">
        <w:rPr>
          <w:color w:val="A6A6A6" w:themeColor="background1" w:themeShade="A6"/>
          <w:sz w:val="18"/>
          <w:szCs w:val="22"/>
          <w:lang w:val="en-US" w:eastAsia="en-US"/>
        </w:rPr>
        <w:t>creativecommons.org/licenses/by/4.0/</w:t>
      </w:r>
    </w:p>
    <w:p w:rsidR="00697793" w:rsidRPr="00F306A1" w:rsidRDefault="00697793" w:rsidP="00697793">
      <w:pPr>
        <w:rPr>
          <w:rFonts w:ascii="Arial" w:hAnsi="Arial" w:cs="Arial"/>
          <w:lang w:val="en-US"/>
        </w:rPr>
      </w:pPr>
    </w:p>
    <w:sectPr w:rsidR="00697793" w:rsidRPr="00F306A1" w:rsidSect="00EF30C2">
      <w:footerReference w:type="default" r:id="rId8"/>
      <w:pgSz w:w="11906" w:h="16838"/>
      <w:pgMar w:top="1134" w:right="1134" w:bottom="1134" w:left="1134"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30C2" w:rsidRDefault="00EF30C2" w:rsidP="00EF30C2">
      <w:pPr>
        <w:spacing w:after="0" w:line="240" w:lineRule="auto"/>
      </w:pPr>
      <w:r>
        <w:separator/>
      </w:r>
    </w:p>
  </w:endnote>
  <w:endnote w:type="continuationSeparator" w:id="0">
    <w:p w:rsidR="00EF30C2" w:rsidRDefault="00EF30C2" w:rsidP="00EF3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30C2" w:rsidRPr="005464BF" w:rsidRDefault="00EF30C2" w:rsidP="00EF30C2">
    <w:pPr>
      <w:tabs>
        <w:tab w:val="center" w:pos="4820"/>
        <w:tab w:val="right" w:pos="13892"/>
      </w:tabs>
      <w:spacing w:after="0" w:line="240" w:lineRule="auto"/>
      <w:rPr>
        <w:rFonts w:ascii="Arial" w:hAnsi="Arial" w:cs="Arial"/>
        <w:sz w:val="14"/>
        <w:szCs w:val="14"/>
      </w:rPr>
    </w:pPr>
    <w:r>
      <w:rPr>
        <w:rFonts w:ascii="Arial" w:hAnsi="Arial" w:cs="Arial"/>
        <w:noProof/>
        <w:sz w:val="14"/>
        <w:szCs w:val="14"/>
      </w:rPr>
      <w:drawing>
        <wp:anchor distT="0" distB="0" distL="114300" distR="114300" simplePos="0" relativeHeight="251660288" behindDoc="0" locked="0" layoutInCell="1" allowOverlap="1" wp14:anchorId="641805E9" wp14:editId="08A7B88E">
          <wp:simplePos x="0" y="0"/>
          <wp:positionH relativeFrom="column">
            <wp:posOffset>1961456</wp:posOffset>
          </wp:positionH>
          <wp:positionV relativeFrom="paragraph">
            <wp:posOffset>29362</wp:posOffset>
          </wp:positionV>
          <wp:extent cx="2030730" cy="244475"/>
          <wp:effectExtent l="0" t="0" r="7620" b="3175"/>
          <wp:wrapNone/>
          <wp:docPr id="3" name="Picture 3" descr="C:\Users\hxsch7\AppData\Local\Microsoft\Windows\Temporary Internet Files\Content.Word\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xsch7\AppData\Local\Microsoft\Windows\Temporary Internet Files\Content.Word\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730" cy="244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64BF">
      <w:rPr>
        <w:rFonts w:ascii="Arial" w:hAnsi="Arial" w:cs="Arial"/>
        <w:noProof/>
        <w:sz w:val="14"/>
        <w:szCs w:val="14"/>
      </w:rPr>
      <w:drawing>
        <wp:anchor distT="0" distB="0" distL="114300" distR="114300" simplePos="0" relativeHeight="251659264" behindDoc="1" locked="0" layoutInCell="1" allowOverlap="1" wp14:anchorId="255FCB32" wp14:editId="67030C10">
          <wp:simplePos x="0" y="0"/>
          <wp:positionH relativeFrom="column">
            <wp:posOffset>4542155</wp:posOffset>
          </wp:positionH>
          <wp:positionV relativeFrom="paragraph">
            <wp:posOffset>-6350</wp:posOffset>
          </wp:positionV>
          <wp:extent cx="1587500" cy="279400"/>
          <wp:effectExtent l="0" t="0" r="0" b="6350"/>
          <wp:wrapNone/>
          <wp:docPr id="2"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64BF">
      <w:rPr>
        <w:rFonts w:ascii="Arial" w:hAnsi="Arial" w:cs="Arial"/>
        <w:sz w:val="14"/>
        <w:szCs w:val="14"/>
      </w:rPr>
      <w:fldChar w:fldCharType="begin"/>
    </w:r>
    <w:r w:rsidRPr="005464BF">
      <w:rPr>
        <w:rFonts w:ascii="Arial" w:hAnsi="Arial" w:cs="Arial"/>
        <w:sz w:val="14"/>
        <w:szCs w:val="14"/>
      </w:rPr>
      <w:instrText xml:space="preserve"> PAGE </w:instrText>
    </w:r>
    <w:r w:rsidRPr="005464BF">
      <w:rPr>
        <w:rFonts w:ascii="Arial" w:hAnsi="Arial" w:cs="Arial"/>
        <w:sz w:val="14"/>
        <w:szCs w:val="14"/>
      </w:rPr>
      <w:fldChar w:fldCharType="separate"/>
    </w:r>
    <w:r w:rsidR="007C749E">
      <w:rPr>
        <w:rFonts w:ascii="Arial" w:hAnsi="Arial" w:cs="Arial"/>
        <w:noProof/>
        <w:sz w:val="14"/>
        <w:szCs w:val="14"/>
      </w:rPr>
      <w:t>10</w:t>
    </w:r>
    <w:r w:rsidRPr="005464BF">
      <w:rPr>
        <w:rFonts w:ascii="Arial" w:hAnsi="Arial" w:cs="Arial"/>
        <w:sz w:val="14"/>
        <w:szCs w:val="14"/>
      </w:rPr>
      <w:fldChar w:fldCharType="end"/>
    </w:r>
    <w:r w:rsidRPr="005464BF">
      <w:rPr>
        <w:rFonts w:ascii="Arial" w:hAnsi="Arial" w:cs="Arial"/>
        <w:sz w:val="14"/>
        <w:szCs w:val="14"/>
      </w:rPr>
      <w:t xml:space="preserve"> of </w:t>
    </w:r>
    <w:r w:rsidRPr="005464BF">
      <w:rPr>
        <w:rFonts w:ascii="Arial" w:hAnsi="Arial" w:cs="Arial"/>
        <w:sz w:val="14"/>
        <w:szCs w:val="14"/>
      </w:rPr>
      <w:fldChar w:fldCharType="begin"/>
    </w:r>
    <w:r w:rsidRPr="005464BF">
      <w:rPr>
        <w:rFonts w:ascii="Arial" w:hAnsi="Arial" w:cs="Arial"/>
        <w:sz w:val="14"/>
        <w:szCs w:val="14"/>
      </w:rPr>
      <w:instrText xml:space="preserve"> NUMPAGES </w:instrText>
    </w:r>
    <w:r w:rsidRPr="005464BF">
      <w:rPr>
        <w:rFonts w:ascii="Arial" w:hAnsi="Arial" w:cs="Arial"/>
        <w:sz w:val="14"/>
        <w:szCs w:val="14"/>
      </w:rPr>
      <w:fldChar w:fldCharType="separate"/>
    </w:r>
    <w:r w:rsidR="007C749E">
      <w:rPr>
        <w:rFonts w:ascii="Arial" w:hAnsi="Arial" w:cs="Arial"/>
        <w:noProof/>
        <w:sz w:val="14"/>
        <w:szCs w:val="14"/>
      </w:rPr>
      <w:t>10</w:t>
    </w:r>
    <w:r w:rsidRPr="005464BF">
      <w:rPr>
        <w:rFonts w:ascii="Arial" w:hAnsi="Arial" w:cs="Arial"/>
        <w:sz w:val="14"/>
        <w:szCs w:val="14"/>
      </w:rPr>
      <w:fldChar w:fldCharType="end"/>
    </w:r>
    <w:r w:rsidRPr="005464BF">
      <w:rPr>
        <w:rFonts w:ascii="Arial" w:hAnsi="Arial" w:cs="Arial"/>
        <w:sz w:val="14"/>
        <w:szCs w:val="14"/>
      </w:rPr>
      <w:tab/>
    </w:r>
  </w:p>
  <w:p w:rsidR="00EF30C2" w:rsidRPr="00EF30C2" w:rsidRDefault="00EF30C2" w:rsidP="00EF30C2">
    <w:pPr>
      <w:pStyle w:val="Footer"/>
      <w:rPr>
        <w:rFonts w:ascii="Arial" w:hAnsi="Arial" w:cs="Arial"/>
      </w:rPr>
    </w:pPr>
    <w:r w:rsidRPr="00EF30C2">
      <w:rPr>
        <w:rFonts w:ascii="Arial" w:hAnsi="Arial" w:cs="Arial"/>
        <w:color w:val="A6A6A6"/>
        <w:sz w:val="14"/>
        <w:szCs w:val="14"/>
      </w:rPr>
      <w:t>Sci_Y06_U2_SH_OtherRenEnergy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30C2" w:rsidRDefault="00EF30C2" w:rsidP="00EF30C2">
      <w:pPr>
        <w:spacing w:after="0" w:line="240" w:lineRule="auto"/>
      </w:pPr>
      <w:r>
        <w:separator/>
      </w:r>
    </w:p>
  </w:footnote>
  <w:footnote w:type="continuationSeparator" w:id="0">
    <w:p w:rsidR="00EF30C2" w:rsidRDefault="00EF30C2" w:rsidP="00EF30C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4975"/>
    <w:multiLevelType w:val="multilevel"/>
    <w:tmpl w:val="DB504D7A"/>
    <w:lvl w:ilvl="0">
      <w:start w:val="1"/>
      <w:numFmt w:val="decimal"/>
      <w:lvlText w:val="%1."/>
      <w:lvlJc w:val="left"/>
      <w:pPr>
        <w:tabs>
          <w:tab w:val="num" w:pos="360"/>
        </w:tabs>
        <w:ind w:left="360" w:hanging="360"/>
      </w:pPr>
      <w:rPr>
        <w:rFonts w:hint="default"/>
        <w:sz w:val="22"/>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117452BA"/>
    <w:multiLevelType w:val="hybridMultilevel"/>
    <w:tmpl w:val="E8849EB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13F97C63"/>
    <w:multiLevelType w:val="multilevel"/>
    <w:tmpl w:val="75B4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B75630"/>
    <w:multiLevelType w:val="multilevel"/>
    <w:tmpl w:val="5448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D13D4E"/>
    <w:multiLevelType w:val="multilevel"/>
    <w:tmpl w:val="DABC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812C9C"/>
    <w:multiLevelType w:val="hybridMultilevel"/>
    <w:tmpl w:val="462C6F2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nsid w:val="3922030B"/>
    <w:multiLevelType w:val="multilevel"/>
    <w:tmpl w:val="E2A4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9937CF6"/>
    <w:multiLevelType w:val="multilevel"/>
    <w:tmpl w:val="60A4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D846F3"/>
    <w:multiLevelType w:val="hybridMultilevel"/>
    <w:tmpl w:val="15E092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489946EF"/>
    <w:multiLevelType w:val="multilevel"/>
    <w:tmpl w:val="F6FE147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C3E3CB0"/>
    <w:multiLevelType w:val="multilevel"/>
    <w:tmpl w:val="DABC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5"/>
  </w:num>
  <w:num w:numId="4">
    <w:abstractNumId w:val="3"/>
  </w:num>
  <w:num w:numId="5">
    <w:abstractNumId w:val="2"/>
  </w:num>
  <w:num w:numId="6">
    <w:abstractNumId w:val="10"/>
  </w:num>
  <w:num w:numId="7">
    <w:abstractNumId w:val="9"/>
  </w:num>
  <w:num w:numId="8">
    <w:abstractNumId w:val="4"/>
  </w:num>
  <w:num w:numId="9">
    <w:abstractNumId w:val="8"/>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7793"/>
    <w:rsid w:val="003715F3"/>
    <w:rsid w:val="004753AC"/>
    <w:rsid w:val="006769CA"/>
    <w:rsid w:val="00697793"/>
    <w:rsid w:val="007C749E"/>
    <w:rsid w:val="008A1496"/>
    <w:rsid w:val="008B2809"/>
    <w:rsid w:val="00A6380C"/>
    <w:rsid w:val="00B27C21"/>
    <w:rsid w:val="00BE5B4D"/>
    <w:rsid w:val="00CF624B"/>
    <w:rsid w:val="00D315DF"/>
    <w:rsid w:val="00D63FB9"/>
    <w:rsid w:val="00E25516"/>
    <w:rsid w:val="00EF30C2"/>
    <w:rsid w:val="00F22B31"/>
    <w:rsid w:val="00F306A1"/>
    <w:rsid w:val="00F4611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977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697793"/>
    <w:rPr>
      <w:color w:val="0000FF"/>
      <w:u w:val="single"/>
    </w:rPr>
  </w:style>
  <w:style w:type="paragraph" w:customStyle="1" w:styleId="Default">
    <w:name w:val="Default"/>
    <w:basedOn w:val="Normal"/>
    <w:rsid w:val="00697793"/>
    <w:pPr>
      <w:autoSpaceDE w:val="0"/>
      <w:autoSpaceDN w:val="0"/>
      <w:spacing w:after="0" w:line="240" w:lineRule="auto"/>
    </w:pPr>
    <w:rPr>
      <w:rFonts w:ascii="Arial" w:hAnsi="Arial" w:cs="Arial"/>
      <w:color w:val="000000"/>
      <w:sz w:val="24"/>
      <w:szCs w:val="24"/>
    </w:rPr>
  </w:style>
  <w:style w:type="character" w:customStyle="1" w:styleId="apple-converted-space">
    <w:name w:val="apple-converted-space"/>
    <w:basedOn w:val="DefaultParagraphFont"/>
    <w:rsid w:val="00D315DF"/>
  </w:style>
  <w:style w:type="character" w:styleId="CommentReference">
    <w:name w:val="annotation reference"/>
    <w:basedOn w:val="DefaultParagraphFont"/>
    <w:uiPriority w:val="99"/>
    <w:semiHidden/>
    <w:unhideWhenUsed/>
    <w:rsid w:val="00D315DF"/>
    <w:rPr>
      <w:sz w:val="16"/>
      <w:szCs w:val="16"/>
    </w:rPr>
  </w:style>
  <w:style w:type="paragraph" w:styleId="CommentText">
    <w:name w:val="annotation text"/>
    <w:basedOn w:val="Normal"/>
    <w:link w:val="CommentTextChar"/>
    <w:uiPriority w:val="99"/>
    <w:semiHidden/>
    <w:unhideWhenUsed/>
    <w:rsid w:val="00D315DF"/>
    <w:pPr>
      <w:spacing w:line="240" w:lineRule="auto"/>
    </w:pPr>
    <w:rPr>
      <w:sz w:val="20"/>
      <w:szCs w:val="20"/>
    </w:rPr>
  </w:style>
  <w:style w:type="character" w:customStyle="1" w:styleId="CommentTextChar">
    <w:name w:val="Comment Text Char"/>
    <w:basedOn w:val="DefaultParagraphFont"/>
    <w:link w:val="CommentText"/>
    <w:uiPriority w:val="99"/>
    <w:semiHidden/>
    <w:rsid w:val="00D315DF"/>
    <w:rPr>
      <w:sz w:val="20"/>
      <w:szCs w:val="20"/>
    </w:rPr>
  </w:style>
  <w:style w:type="paragraph" w:styleId="CommentSubject">
    <w:name w:val="annotation subject"/>
    <w:basedOn w:val="CommentText"/>
    <w:next w:val="CommentText"/>
    <w:link w:val="CommentSubjectChar"/>
    <w:uiPriority w:val="99"/>
    <w:semiHidden/>
    <w:unhideWhenUsed/>
    <w:rsid w:val="00D315DF"/>
    <w:rPr>
      <w:b/>
      <w:bCs/>
    </w:rPr>
  </w:style>
  <w:style w:type="character" w:customStyle="1" w:styleId="CommentSubjectChar">
    <w:name w:val="Comment Subject Char"/>
    <w:basedOn w:val="CommentTextChar"/>
    <w:link w:val="CommentSubject"/>
    <w:uiPriority w:val="99"/>
    <w:semiHidden/>
    <w:rsid w:val="00D315DF"/>
    <w:rPr>
      <w:b/>
      <w:bCs/>
      <w:sz w:val="20"/>
      <w:szCs w:val="20"/>
    </w:rPr>
  </w:style>
  <w:style w:type="paragraph" w:styleId="BalloonText">
    <w:name w:val="Balloon Text"/>
    <w:basedOn w:val="Normal"/>
    <w:link w:val="BalloonTextChar"/>
    <w:uiPriority w:val="99"/>
    <w:semiHidden/>
    <w:unhideWhenUsed/>
    <w:rsid w:val="00D315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15DF"/>
    <w:rPr>
      <w:rFonts w:ascii="Tahoma" w:hAnsi="Tahoma" w:cs="Tahoma"/>
      <w:sz w:val="16"/>
      <w:szCs w:val="16"/>
    </w:rPr>
  </w:style>
  <w:style w:type="paragraph" w:styleId="NormalWeb">
    <w:name w:val="Normal (Web)"/>
    <w:basedOn w:val="Normal"/>
    <w:uiPriority w:val="99"/>
    <w:unhideWhenUsed/>
    <w:rsid w:val="00D315DF"/>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4753AC"/>
    <w:rPr>
      <w:color w:val="FFFFFF" w:themeColor="followedHyperlink"/>
      <w:u w:val="single"/>
    </w:rPr>
  </w:style>
  <w:style w:type="paragraph" w:styleId="ListParagraph">
    <w:name w:val="List Paragraph"/>
    <w:basedOn w:val="Normal"/>
    <w:uiPriority w:val="34"/>
    <w:qFormat/>
    <w:rsid w:val="008A1496"/>
    <w:pPr>
      <w:ind w:left="720"/>
      <w:contextualSpacing/>
    </w:pPr>
  </w:style>
  <w:style w:type="paragraph" w:styleId="Header">
    <w:name w:val="header"/>
    <w:basedOn w:val="Normal"/>
    <w:link w:val="HeaderChar"/>
    <w:uiPriority w:val="99"/>
    <w:unhideWhenUsed/>
    <w:rsid w:val="00EF30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0C2"/>
  </w:style>
  <w:style w:type="paragraph" w:styleId="Footer">
    <w:name w:val="footer"/>
    <w:basedOn w:val="Normal"/>
    <w:link w:val="FooterChar"/>
    <w:uiPriority w:val="99"/>
    <w:unhideWhenUsed/>
    <w:rsid w:val="00EF30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0C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977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697793"/>
    <w:rPr>
      <w:color w:val="0000FF"/>
      <w:u w:val="single"/>
    </w:rPr>
  </w:style>
  <w:style w:type="paragraph" w:customStyle="1" w:styleId="Default">
    <w:name w:val="Default"/>
    <w:basedOn w:val="Normal"/>
    <w:rsid w:val="00697793"/>
    <w:pPr>
      <w:autoSpaceDE w:val="0"/>
      <w:autoSpaceDN w:val="0"/>
      <w:spacing w:after="0" w:line="240" w:lineRule="auto"/>
    </w:pPr>
    <w:rPr>
      <w:rFonts w:ascii="Arial" w:hAnsi="Arial" w:cs="Arial"/>
      <w:color w:val="000000"/>
      <w:sz w:val="24"/>
      <w:szCs w:val="24"/>
    </w:rPr>
  </w:style>
  <w:style w:type="character" w:customStyle="1" w:styleId="apple-converted-space">
    <w:name w:val="apple-converted-space"/>
    <w:basedOn w:val="DefaultParagraphFont"/>
    <w:rsid w:val="00D315DF"/>
  </w:style>
  <w:style w:type="character" w:styleId="CommentReference">
    <w:name w:val="annotation reference"/>
    <w:basedOn w:val="DefaultParagraphFont"/>
    <w:uiPriority w:val="99"/>
    <w:semiHidden/>
    <w:unhideWhenUsed/>
    <w:rsid w:val="00D315DF"/>
    <w:rPr>
      <w:sz w:val="16"/>
      <w:szCs w:val="16"/>
    </w:rPr>
  </w:style>
  <w:style w:type="paragraph" w:styleId="CommentText">
    <w:name w:val="annotation text"/>
    <w:basedOn w:val="Normal"/>
    <w:link w:val="CommentTextChar"/>
    <w:uiPriority w:val="99"/>
    <w:semiHidden/>
    <w:unhideWhenUsed/>
    <w:rsid w:val="00D315DF"/>
    <w:pPr>
      <w:spacing w:line="240" w:lineRule="auto"/>
    </w:pPr>
    <w:rPr>
      <w:sz w:val="20"/>
      <w:szCs w:val="20"/>
    </w:rPr>
  </w:style>
  <w:style w:type="character" w:customStyle="1" w:styleId="CommentTextChar">
    <w:name w:val="Comment Text Char"/>
    <w:basedOn w:val="DefaultParagraphFont"/>
    <w:link w:val="CommentText"/>
    <w:uiPriority w:val="99"/>
    <w:semiHidden/>
    <w:rsid w:val="00D315DF"/>
    <w:rPr>
      <w:sz w:val="20"/>
      <w:szCs w:val="20"/>
    </w:rPr>
  </w:style>
  <w:style w:type="paragraph" w:styleId="CommentSubject">
    <w:name w:val="annotation subject"/>
    <w:basedOn w:val="CommentText"/>
    <w:next w:val="CommentText"/>
    <w:link w:val="CommentSubjectChar"/>
    <w:uiPriority w:val="99"/>
    <w:semiHidden/>
    <w:unhideWhenUsed/>
    <w:rsid w:val="00D315DF"/>
    <w:rPr>
      <w:b/>
      <w:bCs/>
    </w:rPr>
  </w:style>
  <w:style w:type="character" w:customStyle="1" w:styleId="CommentSubjectChar">
    <w:name w:val="Comment Subject Char"/>
    <w:basedOn w:val="CommentTextChar"/>
    <w:link w:val="CommentSubject"/>
    <w:uiPriority w:val="99"/>
    <w:semiHidden/>
    <w:rsid w:val="00D315DF"/>
    <w:rPr>
      <w:b/>
      <w:bCs/>
      <w:sz w:val="20"/>
      <w:szCs w:val="20"/>
    </w:rPr>
  </w:style>
  <w:style w:type="paragraph" w:styleId="BalloonText">
    <w:name w:val="Balloon Text"/>
    <w:basedOn w:val="Normal"/>
    <w:link w:val="BalloonTextChar"/>
    <w:uiPriority w:val="99"/>
    <w:semiHidden/>
    <w:unhideWhenUsed/>
    <w:rsid w:val="00D315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15DF"/>
    <w:rPr>
      <w:rFonts w:ascii="Tahoma" w:hAnsi="Tahoma" w:cs="Tahoma"/>
      <w:sz w:val="16"/>
      <w:szCs w:val="16"/>
    </w:rPr>
  </w:style>
  <w:style w:type="paragraph" w:styleId="NormalWeb">
    <w:name w:val="Normal (Web)"/>
    <w:basedOn w:val="Normal"/>
    <w:uiPriority w:val="99"/>
    <w:unhideWhenUsed/>
    <w:rsid w:val="00D315DF"/>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4753AC"/>
    <w:rPr>
      <w:color w:val="FFFFFF" w:themeColor="followedHyperlink"/>
      <w:u w:val="single"/>
    </w:rPr>
  </w:style>
  <w:style w:type="paragraph" w:styleId="ListParagraph">
    <w:name w:val="List Paragraph"/>
    <w:basedOn w:val="Normal"/>
    <w:uiPriority w:val="34"/>
    <w:qFormat/>
    <w:rsid w:val="008A1496"/>
    <w:pPr>
      <w:ind w:left="720"/>
      <w:contextualSpacing/>
    </w:pPr>
  </w:style>
  <w:style w:type="paragraph" w:styleId="Header">
    <w:name w:val="header"/>
    <w:basedOn w:val="Normal"/>
    <w:link w:val="HeaderChar"/>
    <w:uiPriority w:val="99"/>
    <w:unhideWhenUsed/>
    <w:rsid w:val="00EF30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0C2"/>
  </w:style>
  <w:style w:type="paragraph" w:styleId="Footer">
    <w:name w:val="footer"/>
    <w:basedOn w:val="Normal"/>
    <w:link w:val="FooterChar"/>
    <w:uiPriority w:val="99"/>
    <w:unhideWhenUsed/>
    <w:rsid w:val="00EF30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300364">
      <w:bodyDiv w:val="1"/>
      <w:marLeft w:val="0"/>
      <w:marRight w:val="0"/>
      <w:marTop w:val="0"/>
      <w:marBottom w:val="0"/>
      <w:divBdr>
        <w:top w:val="none" w:sz="0" w:space="0" w:color="auto"/>
        <w:left w:val="none" w:sz="0" w:space="0" w:color="auto"/>
        <w:bottom w:val="none" w:sz="0" w:space="0" w:color="auto"/>
        <w:right w:val="none" w:sz="0" w:space="0" w:color="auto"/>
      </w:divBdr>
    </w:div>
    <w:div w:id="90515989">
      <w:bodyDiv w:val="1"/>
      <w:marLeft w:val="0"/>
      <w:marRight w:val="0"/>
      <w:marTop w:val="0"/>
      <w:marBottom w:val="0"/>
      <w:divBdr>
        <w:top w:val="none" w:sz="0" w:space="0" w:color="auto"/>
        <w:left w:val="none" w:sz="0" w:space="0" w:color="auto"/>
        <w:bottom w:val="none" w:sz="0" w:space="0" w:color="auto"/>
        <w:right w:val="none" w:sz="0" w:space="0" w:color="auto"/>
      </w:divBdr>
    </w:div>
    <w:div w:id="106585803">
      <w:bodyDiv w:val="1"/>
      <w:marLeft w:val="0"/>
      <w:marRight w:val="0"/>
      <w:marTop w:val="0"/>
      <w:marBottom w:val="0"/>
      <w:divBdr>
        <w:top w:val="none" w:sz="0" w:space="0" w:color="auto"/>
        <w:left w:val="none" w:sz="0" w:space="0" w:color="auto"/>
        <w:bottom w:val="none" w:sz="0" w:space="0" w:color="auto"/>
        <w:right w:val="none" w:sz="0" w:space="0" w:color="auto"/>
      </w:divBdr>
    </w:div>
    <w:div w:id="212811937">
      <w:bodyDiv w:val="1"/>
      <w:marLeft w:val="0"/>
      <w:marRight w:val="0"/>
      <w:marTop w:val="0"/>
      <w:marBottom w:val="0"/>
      <w:divBdr>
        <w:top w:val="none" w:sz="0" w:space="0" w:color="auto"/>
        <w:left w:val="none" w:sz="0" w:space="0" w:color="auto"/>
        <w:bottom w:val="none" w:sz="0" w:space="0" w:color="auto"/>
        <w:right w:val="none" w:sz="0" w:space="0" w:color="auto"/>
      </w:divBdr>
    </w:div>
    <w:div w:id="319773987">
      <w:bodyDiv w:val="1"/>
      <w:marLeft w:val="0"/>
      <w:marRight w:val="0"/>
      <w:marTop w:val="0"/>
      <w:marBottom w:val="0"/>
      <w:divBdr>
        <w:top w:val="none" w:sz="0" w:space="0" w:color="auto"/>
        <w:left w:val="none" w:sz="0" w:space="0" w:color="auto"/>
        <w:bottom w:val="none" w:sz="0" w:space="0" w:color="auto"/>
        <w:right w:val="none" w:sz="0" w:space="0" w:color="auto"/>
      </w:divBdr>
      <w:divsChild>
        <w:div w:id="1332636553">
          <w:marLeft w:val="0"/>
          <w:marRight w:val="0"/>
          <w:marTop w:val="0"/>
          <w:marBottom w:val="0"/>
          <w:divBdr>
            <w:top w:val="none" w:sz="0" w:space="0" w:color="auto"/>
            <w:left w:val="none" w:sz="0" w:space="0" w:color="auto"/>
            <w:bottom w:val="none" w:sz="0" w:space="0" w:color="auto"/>
            <w:right w:val="none" w:sz="0" w:space="0" w:color="auto"/>
          </w:divBdr>
          <w:divsChild>
            <w:div w:id="2061174239">
              <w:marLeft w:val="0"/>
              <w:marRight w:val="0"/>
              <w:marTop w:val="100"/>
              <w:marBottom w:val="100"/>
              <w:divBdr>
                <w:top w:val="none" w:sz="0" w:space="0" w:color="auto"/>
                <w:left w:val="none" w:sz="0" w:space="0" w:color="auto"/>
                <w:bottom w:val="none" w:sz="0" w:space="0" w:color="auto"/>
                <w:right w:val="none" w:sz="0" w:space="0" w:color="auto"/>
              </w:divBdr>
              <w:divsChild>
                <w:div w:id="562910254">
                  <w:marLeft w:val="0"/>
                  <w:marRight w:val="0"/>
                  <w:marTop w:val="0"/>
                  <w:marBottom w:val="0"/>
                  <w:divBdr>
                    <w:top w:val="none" w:sz="0" w:space="0" w:color="auto"/>
                    <w:left w:val="none" w:sz="0" w:space="0" w:color="auto"/>
                    <w:bottom w:val="none" w:sz="0" w:space="0" w:color="auto"/>
                    <w:right w:val="none" w:sz="0" w:space="0" w:color="auto"/>
                  </w:divBdr>
                  <w:divsChild>
                    <w:div w:id="136455869">
                      <w:marLeft w:val="0"/>
                      <w:marRight w:val="0"/>
                      <w:marTop w:val="0"/>
                      <w:marBottom w:val="0"/>
                      <w:divBdr>
                        <w:top w:val="none" w:sz="0" w:space="0" w:color="auto"/>
                        <w:left w:val="none" w:sz="0" w:space="0" w:color="auto"/>
                        <w:bottom w:val="none" w:sz="0" w:space="0" w:color="auto"/>
                        <w:right w:val="none" w:sz="0" w:space="0" w:color="auto"/>
                      </w:divBdr>
                      <w:divsChild>
                        <w:div w:id="12531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362761">
      <w:bodyDiv w:val="1"/>
      <w:marLeft w:val="0"/>
      <w:marRight w:val="0"/>
      <w:marTop w:val="0"/>
      <w:marBottom w:val="0"/>
      <w:divBdr>
        <w:top w:val="none" w:sz="0" w:space="0" w:color="auto"/>
        <w:left w:val="none" w:sz="0" w:space="0" w:color="auto"/>
        <w:bottom w:val="none" w:sz="0" w:space="0" w:color="auto"/>
        <w:right w:val="none" w:sz="0" w:space="0" w:color="auto"/>
      </w:divBdr>
    </w:div>
    <w:div w:id="399406153">
      <w:bodyDiv w:val="1"/>
      <w:marLeft w:val="0"/>
      <w:marRight w:val="0"/>
      <w:marTop w:val="0"/>
      <w:marBottom w:val="0"/>
      <w:divBdr>
        <w:top w:val="none" w:sz="0" w:space="0" w:color="auto"/>
        <w:left w:val="none" w:sz="0" w:space="0" w:color="auto"/>
        <w:bottom w:val="none" w:sz="0" w:space="0" w:color="auto"/>
        <w:right w:val="none" w:sz="0" w:space="0" w:color="auto"/>
      </w:divBdr>
    </w:div>
    <w:div w:id="664240039">
      <w:bodyDiv w:val="1"/>
      <w:marLeft w:val="0"/>
      <w:marRight w:val="0"/>
      <w:marTop w:val="0"/>
      <w:marBottom w:val="0"/>
      <w:divBdr>
        <w:top w:val="none" w:sz="0" w:space="0" w:color="auto"/>
        <w:left w:val="none" w:sz="0" w:space="0" w:color="auto"/>
        <w:bottom w:val="none" w:sz="0" w:space="0" w:color="auto"/>
        <w:right w:val="none" w:sz="0" w:space="0" w:color="auto"/>
      </w:divBdr>
    </w:div>
    <w:div w:id="834538950">
      <w:bodyDiv w:val="1"/>
      <w:marLeft w:val="0"/>
      <w:marRight w:val="0"/>
      <w:marTop w:val="0"/>
      <w:marBottom w:val="0"/>
      <w:divBdr>
        <w:top w:val="none" w:sz="0" w:space="0" w:color="auto"/>
        <w:left w:val="none" w:sz="0" w:space="0" w:color="auto"/>
        <w:bottom w:val="none" w:sz="0" w:space="0" w:color="auto"/>
        <w:right w:val="none" w:sz="0" w:space="0" w:color="auto"/>
      </w:divBdr>
    </w:div>
    <w:div w:id="844320937">
      <w:bodyDiv w:val="1"/>
      <w:marLeft w:val="0"/>
      <w:marRight w:val="0"/>
      <w:marTop w:val="0"/>
      <w:marBottom w:val="0"/>
      <w:divBdr>
        <w:top w:val="none" w:sz="0" w:space="0" w:color="auto"/>
        <w:left w:val="none" w:sz="0" w:space="0" w:color="auto"/>
        <w:bottom w:val="none" w:sz="0" w:space="0" w:color="auto"/>
        <w:right w:val="none" w:sz="0" w:space="0" w:color="auto"/>
      </w:divBdr>
    </w:div>
    <w:div w:id="870849269">
      <w:bodyDiv w:val="1"/>
      <w:marLeft w:val="0"/>
      <w:marRight w:val="0"/>
      <w:marTop w:val="0"/>
      <w:marBottom w:val="0"/>
      <w:divBdr>
        <w:top w:val="none" w:sz="0" w:space="0" w:color="auto"/>
        <w:left w:val="none" w:sz="0" w:space="0" w:color="auto"/>
        <w:bottom w:val="none" w:sz="0" w:space="0" w:color="auto"/>
        <w:right w:val="none" w:sz="0" w:space="0" w:color="auto"/>
      </w:divBdr>
    </w:div>
    <w:div w:id="1065569372">
      <w:bodyDiv w:val="1"/>
      <w:marLeft w:val="0"/>
      <w:marRight w:val="0"/>
      <w:marTop w:val="0"/>
      <w:marBottom w:val="0"/>
      <w:divBdr>
        <w:top w:val="none" w:sz="0" w:space="0" w:color="auto"/>
        <w:left w:val="none" w:sz="0" w:space="0" w:color="auto"/>
        <w:bottom w:val="none" w:sz="0" w:space="0" w:color="auto"/>
        <w:right w:val="none" w:sz="0" w:space="0" w:color="auto"/>
      </w:divBdr>
    </w:div>
    <w:div w:id="1202934333">
      <w:bodyDiv w:val="1"/>
      <w:marLeft w:val="0"/>
      <w:marRight w:val="0"/>
      <w:marTop w:val="0"/>
      <w:marBottom w:val="0"/>
      <w:divBdr>
        <w:top w:val="none" w:sz="0" w:space="0" w:color="auto"/>
        <w:left w:val="none" w:sz="0" w:space="0" w:color="auto"/>
        <w:bottom w:val="none" w:sz="0" w:space="0" w:color="auto"/>
        <w:right w:val="none" w:sz="0" w:space="0" w:color="auto"/>
      </w:divBdr>
    </w:div>
    <w:div w:id="1526627450">
      <w:bodyDiv w:val="1"/>
      <w:marLeft w:val="0"/>
      <w:marRight w:val="0"/>
      <w:marTop w:val="0"/>
      <w:marBottom w:val="0"/>
      <w:divBdr>
        <w:top w:val="none" w:sz="0" w:space="0" w:color="auto"/>
        <w:left w:val="none" w:sz="0" w:space="0" w:color="auto"/>
        <w:bottom w:val="none" w:sz="0" w:space="0" w:color="auto"/>
        <w:right w:val="none" w:sz="0" w:space="0" w:color="auto"/>
      </w:divBdr>
    </w:div>
    <w:div w:id="1586767294">
      <w:bodyDiv w:val="1"/>
      <w:marLeft w:val="0"/>
      <w:marRight w:val="0"/>
      <w:marTop w:val="0"/>
      <w:marBottom w:val="0"/>
      <w:divBdr>
        <w:top w:val="none" w:sz="0" w:space="0" w:color="auto"/>
        <w:left w:val="none" w:sz="0" w:space="0" w:color="auto"/>
        <w:bottom w:val="none" w:sz="0" w:space="0" w:color="auto"/>
        <w:right w:val="none" w:sz="0" w:space="0" w:color="auto"/>
      </w:divBdr>
    </w:div>
    <w:div w:id="1734623122">
      <w:bodyDiv w:val="1"/>
      <w:marLeft w:val="0"/>
      <w:marRight w:val="0"/>
      <w:marTop w:val="0"/>
      <w:marBottom w:val="0"/>
      <w:divBdr>
        <w:top w:val="none" w:sz="0" w:space="0" w:color="auto"/>
        <w:left w:val="none" w:sz="0" w:space="0" w:color="auto"/>
        <w:bottom w:val="none" w:sz="0" w:space="0" w:color="auto"/>
        <w:right w:val="none" w:sz="0" w:space="0" w:color="auto"/>
      </w:divBdr>
    </w:div>
    <w:div w:id="1862012421">
      <w:bodyDiv w:val="1"/>
      <w:marLeft w:val="0"/>
      <w:marRight w:val="0"/>
      <w:marTop w:val="0"/>
      <w:marBottom w:val="0"/>
      <w:divBdr>
        <w:top w:val="none" w:sz="0" w:space="0" w:color="auto"/>
        <w:left w:val="none" w:sz="0" w:space="0" w:color="auto"/>
        <w:bottom w:val="none" w:sz="0" w:space="0" w:color="auto"/>
        <w:right w:val="none" w:sz="0" w:space="0" w:color="auto"/>
      </w:divBdr>
    </w:div>
    <w:div w:id="1913929795">
      <w:bodyDiv w:val="1"/>
      <w:marLeft w:val="0"/>
      <w:marRight w:val="0"/>
      <w:marTop w:val="0"/>
      <w:marBottom w:val="0"/>
      <w:divBdr>
        <w:top w:val="none" w:sz="0" w:space="0" w:color="auto"/>
        <w:left w:val="none" w:sz="0" w:space="0" w:color="auto"/>
        <w:bottom w:val="none" w:sz="0" w:space="0" w:color="auto"/>
        <w:right w:val="none" w:sz="0" w:space="0" w:color="auto"/>
      </w:divBdr>
    </w:div>
    <w:div w:id="2036030945">
      <w:bodyDiv w:val="1"/>
      <w:marLeft w:val="0"/>
      <w:marRight w:val="0"/>
      <w:marTop w:val="0"/>
      <w:marBottom w:val="0"/>
      <w:divBdr>
        <w:top w:val="none" w:sz="0" w:space="0" w:color="auto"/>
        <w:left w:val="none" w:sz="0" w:space="0" w:color="auto"/>
        <w:bottom w:val="none" w:sz="0" w:space="0" w:color="auto"/>
        <w:right w:val="none" w:sz="0" w:space="0" w:color="auto"/>
      </w:divBdr>
    </w:div>
    <w:div w:id="2113082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Science">
      <a:dk1>
        <a:sysClr val="windowText" lastClr="000000"/>
      </a:dk1>
      <a:lt1>
        <a:sysClr val="window" lastClr="FFFFFF"/>
      </a:lt1>
      <a:dk2>
        <a:srgbClr val="1F497D"/>
      </a:dk2>
      <a:lt2>
        <a:srgbClr val="EEECE1"/>
      </a:lt2>
      <a:accent1>
        <a:srgbClr val="84BD00"/>
      </a:accent1>
      <a:accent2>
        <a:srgbClr val="D3EC9E"/>
      </a:accent2>
      <a:accent3>
        <a:srgbClr val="E8F2DD"/>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8D50860B.dotm</Template>
  <TotalTime>6</TotalTime>
  <Pages>10</Pages>
  <Words>5421</Words>
  <Characters>30902</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36251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MAYNES, Anne</dc:creator>
  <cp:lastModifiedBy>Kyom Behrend</cp:lastModifiedBy>
  <cp:revision>5</cp:revision>
  <dcterms:created xsi:type="dcterms:W3CDTF">2016-03-08T23:18:00Z</dcterms:created>
  <dcterms:modified xsi:type="dcterms:W3CDTF">2017-03-06T00:38:00Z</dcterms:modified>
</cp:coreProperties>
</file>