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1 — TEACHER ANSWER KEY</w:t>
      </w:r>
    </w:p>
    <w:p>
      <w:r>
        <w:t xml:space="preserve">Model answers for slide discussion questions. Accept reasonable alternatives supported by evidence.</w:t>
      </w:r>
    </w:p>
    <w:p>
      <w:pPr>
        <w:pStyle w:val="Heading1"/>
      </w:pPr>
      <w:r>
        <w:t xml:space="preserve">Slide 6 — Hero banner</w:t>
      </w:r>
    </w:p>
    <w:p>
      <w:pPr>
        <w:pStyle w:val="ListParagraph"/>
        <w:numPr>
          <w:ilvl w:val="0"/>
          <w:numId w:val="1"/>
        </w:numPr>
      </w:pPr>
      <w:r>
        <w:t xml:space="preserve">Immersive language sets a serious, documentary tone and signals depth of content; it aims to engage curious readers while staying factual.</w:t>
      </w:r>
    </w:p>
    <w:p>
      <w:pPr>
        <w:pStyle w:val="ListParagraph"/>
        <w:numPr>
          <w:ilvl w:val="0"/>
          <w:numId w:val="1"/>
        </w:numPr>
      </w:pPr>
      <w:r>
        <w:t xml:space="preserve">Likely audience: senior students and general public interested in Australian history and science — vocabulary and design are sophisticated; not a simple early-primary site.</w:t>
      </w:r>
    </w:p>
    <w:p>
      <w:pPr>
        <w:pStyle w:val="ListParagraph"/>
        <w:numPr>
          <w:ilvl w:val="0"/>
          <w:numId w:val="1"/>
        </w:numPr>
      </w:pPr>
      <w:r>
        <w:t xml:space="preserve">Closer to an information source than a storybook; not selling a product.</w:t>
      </w:r>
    </w:p>
    <w:p>
      <w:pPr>
        <w:pStyle w:val="Heading1"/>
      </w:pPr>
      <w:r>
        <w:t xml:space="preserve">Slide 7 — Statistics strip</w:t>
      </w:r>
    </w:p>
    <w:p>
      <w:pPr>
        <w:pStyle w:val="ListParagraph"/>
        <w:numPr>
          <w:ilvl w:val="0"/>
          <w:numId w:val="1"/>
        </w:numPr>
      </w:pPr>
      <w:r>
        <w:t xml:space="preserve">Numbers quickly communicate scale, severity, and time span — efficient for informed readers.</w:t>
      </w:r>
    </w:p>
    <w:p>
      <w:pPr>
        <w:pStyle w:val="ListParagraph"/>
        <w:numPr>
          <w:ilvl w:val="0"/>
          <w:numId w:val="1"/>
        </w:numPr>
      </w:pPr>
      <w:r>
        <w:t xml:space="preserve">They suggest the archive deals with real, measured events (credibility).</w:t>
      </w:r>
    </w:p>
    <w:p>
      <w:pPr>
        <w:pStyle w:val="ListParagraph"/>
        <w:numPr>
          <w:ilvl w:val="0"/>
          <w:numId w:val="1"/>
        </w:numPr>
      </w:pPr>
      <w:r>
        <w:t xml:space="preserve">Factual framing supports informative purpose.</w:t>
      </w:r>
    </w:p>
    <w:p>
      <w:pPr>
        <w:pStyle w:val="Heading1"/>
      </w:pPr>
      <w:r>
        <w:t xml:space="preserve">Slide 8 — Section introduction</w:t>
      </w:r>
    </w:p>
    <w:p>
      <w:pPr>
        <w:pStyle w:val="ListParagraph"/>
        <w:numPr>
          <w:ilvl w:val="0"/>
          <w:numId w:val="1"/>
        </w:numPr>
      </w:pPr>
      <w:r>
        <w:t xml:space="preserve">Primarily inform — defines scope (six defining moments) with neutral tone.</w:t>
      </w:r>
    </w:p>
    <w:p>
      <w:pPr>
        <w:pStyle w:val="ListParagraph"/>
        <w:numPr>
          <w:ilvl w:val="0"/>
          <w:numId w:val="1"/>
        </w:numPr>
      </w:pPr>
      <w:r>
        <w:t xml:space="preserve">Factual phrases: e.g. references to meteorological history / reshaped understanding (documentable).</w:t>
      </w:r>
    </w:p>
    <w:p>
      <w:pPr>
        <w:pStyle w:val="ListParagraph"/>
        <w:numPr>
          <w:ilvl w:val="0"/>
          <w:numId w:val="1"/>
        </w:numPr>
      </w:pPr>
      <w:r>
        <w:t xml:space="preserve">Readers new to the topic need orientation before choosing a cyclone.</w:t>
      </w:r>
    </w:p>
    <w:p>
      <w:pPr>
        <w:pStyle w:val="Heading1"/>
      </w:pPr>
      <w:r>
        <w:t xml:space="preserve">Slide 9 — Six cards</w:t>
      </w:r>
    </w:p>
    <w:p>
      <w:pPr>
        <w:pStyle w:val="ListParagraph"/>
        <w:numPr>
          <w:ilvl w:val="0"/>
          <w:numId w:val="1"/>
        </w:numPr>
      </w:pPr>
      <w:r>
        <w:t xml:space="preserve">Chunking helps readability and comparison; each event has its own narrative and data.</w:t>
      </w:r>
    </w:p>
    <w:p>
      <w:pPr>
        <w:pStyle w:val="ListParagraph"/>
        <w:numPr>
          <w:ilvl w:val="0"/>
          <w:numId w:val="1"/>
        </w:numPr>
      </w:pPr>
      <w:r>
        <w:t xml:space="preserve">Cards preview content and support user choice.</w:t>
      </w:r>
    </w:p>
    <w:p>
      <w:pPr>
        <w:pStyle w:val="ListParagraph"/>
        <w:numPr>
          <w:ilvl w:val="0"/>
          <w:numId w:val="1"/>
        </w:numPr>
      </w:pPr>
      <w:r>
        <w:t xml:space="preserve">Repeated pattern teaches the navigation grammar of the site.</w:t>
      </w:r>
    </w:p>
    <w:p>
      <w:pPr>
        <w:pStyle w:val="Heading1"/>
      </w:pPr>
      <w:r>
        <w:t xml:space="preserve">Slide 10 — Tracy card</w:t>
      </w:r>
    </w:p>
    <w:p>
      <w:pPr>
        <w:pStyle w:val="ListParagraph"/>
        <w:numPr>
          <w:ilvl w:val="0"/>
          <w:numId w:val="1"/>
        </w:numPr>
      </w:pPr>
      <w:r>
        <w:t xml:space="preserve">Common elements: category tag, year, location, title, teaser paragraph, wind/fatalities/damage strip, read-more cue.</w:t>
      </w:r>
    </w:p>
    <w:p>
      <w:pPr>
        <w:pStyle w:val="ListParagraph"/>
        <w:numPr>
          <w:ilvl w:val="0"/>
          <w:numId w:val="1"/>
        </w:numPr>
      </w:pPr>
      <w:r>
        <w:t xml:space="preserve">Teaser motivates click-through while keeping the hub scannable.</w:t>
      </w:r>
    </w:p>
    <w:p>
      <w:pPr>
        <w:pStyle w:val="ListParagraph"/>
        <w:numPr>
          <w:ilvl w:val="0"/>
          <w:numId w:val="1"/>
        </w:numPr>
      </w:pPr>
      <w:r>
        <w:t xml:space="preserve">Background image hints at destruction even at low opacity — multimodal meaning.</w:t>
      </w:r>
    </w:p>
    <w:p>
      <w:pPr>
        <w:pStyle w:val="Heading1"/>
      </w:pPr>
      <w:r>
        <w:t xml:space="preserve">Slide 11 — Evidence section</w:t>
      </w:r>
    </w:p>
    <w:p>
      <w:pPr>
        <w:pStyle w:val="ListParagraph"/>
        <w:numPr>
          <w:ilvl w:val="0"/>
          <w:numId w:val="1"/>
        </w:numPr>
      </w:pPr>
      <w:r>
        <w:t xml:space="preserve">Primary sources; meteorological data; human impact.</w:t>
      </w:r>
    </w:p>
    <w:p>
      <w:pPr>
        <w:pStyle w:val="ListParagraph"/>
        <w:numPr>
          <w:ilvl w:val="0"/>
          <w:numId w:val="1"/>
        </w:numPr>
      </w:pPr>
      <w:r>
        <w:t xml:space="preserve">Combines documentary evidence, scientific measurement, and social consequence — fuller picture.</w:t>
      </w:r>
    </w:p>
    <w:p>
      <w:pPr>
        <w:pStyle w:val="ListParagraph"/>
        <w:numPr>
          <w:ilvl w:val="0"/>
          <w:numId w:val="1"/>
        </w:numPr>
      </w:pPr>
      <w:r>
        <w:t xml:space="preserve">Scientists may prioritise meteorological data; historians may prioritise primary sources and human impact.</w:t>
      </w:r>
    </w:p>
    <w:p>
      <w:pPr>
        <w:pStyle w:val="Heading1"/>
      </w:pPr>
      <w:r>
        <w:t xml:space="preserve">Slide 12 — Navigation</w:t>
      </w:r>
    </w:p>
    <w:p>
      <w:pPr>
        <w:pStyle w:val="ListParagraph"/>
        <w:numPr>
          <w:ilvl w:val="0"/>
          <w:numId w:val="1"/>
        </w:numPr>
      </w:pPr>
      <w:r>
        <w:t xml:space="preserve">Header: brand + anchor links to cyclones list and about section.</w:t>
      </w:r>
    </w:p>
    <w:p>
      <w:pPr>
        <w:pStyle w:val="ListParagraph"/>
        <w:numPr>
          <w:ilvl w:val="0"/>
          <w:numId w:val="1"/>
        </w:numPr>
      </w:pPr>
      <w:r>
        <w:t xml:space="preserve">Footer links act like a quick index to each sub-page.</w:t>
      </w:r>
    </w:p>
    <w:p>
      <w:pPr>
        <w:pStyle w:val="ListParagraph"/>
        <w:numPr>
          <w:ilvl w:val="0"/>
          <w:numId w:val="1"/>
        </w:numPr>
      </w:pPr>
      <w:r>
        <w:t xml:space="preserve">Unlike a book, hyperlinks allow non-linear reading; unlike print, same page combines multimedia (future sub-pages).</w:t>
      </w:r>
    </w:p>
    <w:p>
      <w:pPr>
        <w:pStyle w:val="Heading1"/>
      </w:pPr>
      <w:r>
        <w:t xml:space="preserve">Slide 14 — Text-type sort</w:t>
      </w:r>
    </w:p>
    <w:p>
      <w:pPr>
        <w:pStyle w:val="ListParagraph"/>
        <w:numPr>
          <w:ilvl w:val="0"/>
          <w:numId w:val="1"/>
        </w:numPr>
      </w:pPr>
      <w:r>
        <w:t xml:space="preserve">A — Informative.</w:t>
      </w:r>
    </w:p>
    <w:p>
      <w:pPr>
        <w:pStyle w:val="ListParagraph"/>
        <w:numPr>
          <w:ilvl w:val="0"/>
          <w:numId w:val="1"/>
        </w:numPr>
      </w:pPr>
      <w:r>
        <w:t xml:space="preserve">B — Imaginative (figurative language, narrative voice).</w:t>
      </w:r>
    </w:p>
    <w:p>
      <w:pPr>
        <w:pStyle w:val="ListParagraph"/>
        <w:numPr>
          <w:ilvl w:val="0"/>
          <w:numId w:val="1"/>
        </w:numPr>
      </w:pPr>
      <w:r>
        <w:t xml:space="preserve">C — Persuasive (call to action, donation).</w:t>
      </w:r>
    </w:p>
    <w:p>
      <w:pPr>
        <w:pStyle w:val="Heading1"/>
      </w:pPr>
      <w:r>
        <w:t xml:space="preserve">Exit ticket — exemplar</w:t>
      </w:r>
    </w:p>
    <w:p>
      <w:r>
        <w:t xml:space="preserve">The purpose of the Cyclone Archive is to inform readers about six major Australian cyclones using evidence and data. The audience is likely older students and adults interested in history and science, because the language is formal and the layout uses detailed statistics and deep-dive links.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00"/>
      <w:jc w:val="center"/>
    </w:pPr>
    <w:rPr>
      <w:rFonts w:ascii="Arial" w:cs="Arial" w:eastAsia="Arial" w:hAnsi="Arial"/>
      <w:b/>
      <w:bCs/>
      <w:color w:val="B12E21"/>
      <w:sz w:val="56"/>
      <w:szCs w:val="56"/>
    </w:rPr>
  </w:style>
  <w:style w:type="paragraph" w:styleId="Heading1">
    <w:name w:val="Heading 1"/>
    <w:basedOn w:val="Normal"/>
    <w:pPr>
      <w:pBdr>
        <w:bottom w:val="single" w:color="B12E21" w:sz="6" w:space="1"/>
      </w:pBdr>
      <w:spacing w:after="160" w:before="280"/>
      <w:outlineLvl w:val="0"/>
    </w:pPr>
    <w:rPr>
      <w:rFonts w:ascii="Arial" w:cs="Arial" w:eastAsia="Arial" w:hAnsi="Arial"/>
      <w:b/>
      <w:bCs/>
      <w:color w:val="B12E21"/>
      <w:sz w:val="36"/>
      <w:szCs w:val="36"/>
    </w:rPr>
  </w:style>
  <w:style w:type="paragraph" w:styleId="Heading2">
    <w:name w:val="Heading 2"/>
    <w:basedOn w:val="Normal"/>
    <w:pPr>
      <w:spacing w:after="120" w:before="200"/>
      <w:outlineLvl w:val="1"/>
    </w:pPr>
    <w:rPr>
      <w:rFonts w:ascii="Arial" w:cs="Arial" w:eastAsia="Arial" w:hAnsi="Arial"/>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2026-05-31T02:06:04.868Z</dcterms:created>
  <dcterms:modified xsi:type="dcterms:W3CDTF">2026-05-31T02:06:04.868Z</dcterms:modified>
</cp:coreProperties>
</file>

<file path=docProps/custom.xml><?xml version="1.0" encoding="utf-8"?>
<Properties xmlns="http://schemas.openxmlformats.org/officeDocument/2006/custom-properties" xmlns:vt="http://schemas.openxmlformats.org/officeDocument/2006/docPropsVTypes"/>
</file>