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F4A261"/>
          <w:sz w:val="18"/>
        </w:rPr>
        <w:t>SUMMATIVE ASSESSMENT | 2-SESSION SEQUENCE</w:t>
      </w:r>
    </w:p>
    <w:p>
      <w:pPr>
        <w:pStyle w:val="Title"/>
        <w:spacing w:after="60"/>
      </w:pPr>
      <w:r>
        <w:rPr>
          <w:rFonts w:ascii="Calibri" w:hAnsi="Calibri"/>
          <w:b/>
          <w:i w:val="0"/>
          <w:color w:val="0D1F2D"/>
          <w:sz w:val="52"/>
        </w:rPr>
        <w:t>Let's All Be Active: Inclusive Game Design</w:t>
      </w:r>
    </w:p>
    <w:p>
      <w:pPr>
        <w:pStyle w:val="Subtitle"/>
      </w:pPr>
      <w:r>
        <w:rPr>
          <w:rFonts w:ascii="Calibri" w:hAnsi="Calibri"/>
          <w:b w:val="0"/>
          <w:i w:val="0"/>
          <w:color w:val="4A5568"/>
          <w:sz w:val="25"/>
        </w:rPr>
        <w:t>A structured two-session sequence guiding Year 6 students to design, analyse, playtest, and evaluate an inclusive 6-player physical activity.</w:t>
      </w:r>
    </w:p>
    <w:tbl>
      <w:tblPr>
        <w:tblW w:type="dxa" w:w="9640"/>
        <w:jc w:val="center"/>
        <w:tblLayout w:type="fixed"/>
        <w:tblLook w:firstColumn="1" w:firstRow="1" w:lastColumn="0" w:lastRow="0" w:noHBand="0" w:noVBand="1" w:val="04A0"/>
        <w:tblInd w:w="60" w:type="dxa"/>
        <w:tblBorders>
          <w:top w:val="single" w:sz="8" w:color="00A896"/>
          <w:left w:val="single" w:sz="8" w:color="00A896"/>
          <w:bottom w:val="single" w:sz="8" w:color="00A896"/>
          <w:right w:val="single" w:sz="8" w:color="00A896"/>
          <w:insideH w:val="single" w:sz="8" w:color="00A896"/>
          <w:insideV w:val="single" w:sz="8" w:color="00A896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5"/>
              </w:rPr>
              <w:t>YEAR LEVEL</w:t>
              <w:br/>
            </w: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Year 6</w:t>
            </w:r>
          </w:p>
        </w:tc>
        <w:tc>
          <w:tcPr>
            <w:tcW w:type="dxa" w:w="2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5"/>
              </w:rPr>
              <w:t>FORMAT</w:t>
              <w:br/>
            </w: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2 × 60 Min</w:t>
            </w:r>
          </w:p>
        </w:tc>
        <w:tc>
          <w:tcPr>
            <w:tcW w:type="dxa" w:w="2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5"/>
              </w:rPr>
              <w:t>CURRICULUM</w:t>
              <w:br/>
            </w: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ACPPS054 | ACPPS059 | ACPPS060 | ACPMP064</w:t>
            </w:r>
          </w:p>
        </w:tc>
        <w:tc>
          <w:tcPr>
            <w:tcW w:type="dxa" w:w="2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5"/>
              </w:rPr>
              <w:t>ASSESSMENT MODE</w:t>
              <w:br/>
            </w: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Assignment / Project Portfolio</w:t>
            </w:r>
          </w:p>
        </w:tc>
      </w:tr>
    </w:tbl>
    <w:p>
      <w:pPr>
        <w:spacing w:after="0"/>
      </w:pP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00A896"/>
          <w:left w:val="single" w:sz="10" w:color="00A896"/>
          <w:bottom w:val="single" w:sz="10" w:color="00A896"/>
          <w:right w:val="single" w:sz="10" w:color="00A896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 xml:space="preserve">ASSESSMENT DESTINATION  </w:t>
            </w:r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Students demonstrate their understanding of health, wellbeing, diversity, and safety by designing a non-eliminating, 100% inclusive physical activity for a group of 6 Year 6 peers, analysing its impact across 4 dimensions of health, playtesting it with peers, and reflecting on design refinements.</w:t>
            </w:r>
          </w:p>
        </w:tc>
      </w:tr>
    </w:tbl>
    <w:p>
      <w:pPr>
        <w:spacing w:after="0"/>
      </w:pPr>
    </w:p>
    <w:p>
      <w:pPr>
        <w:pStyle w:val="Heading1"/>
      </w:pPr>
      <w:r>
        <w:t>Curriculum Alignment &amp; Achievement Standard Evidence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4820"/>
        <w:gridCol w:w="4820"/>
      </w:tblGrid>
      <w:tr>
        <w:trPr>
          <w:tblHeader w:val="true"/>
        </w:trPr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Content Descriptors</w:t>
            </w:r>
          </w:p>
        </w:tc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DF3E7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Achievement Standard Focus</w:t>
            </w:r>
          </w:p>
        </w:tc>
      </w:tr>
      <w:tr>
        <w:tc>
          <w:tcPr>
            <w:tcW w:type="dxa" w:w="4820"/>
          </w:tcPr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ACPPS054: Investigate the role of preventive health in promoting health, safety and wellbeing for individuals and their communities.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ACPPS059: Participate in physical activities that develop health-related and skill-related fitness.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ACPPS060: Examine how physical activity, celebrating diversity and connecting to the environment support community wellbeing and cultural understanding.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ACPMP064: Propose and apply movement concepts and strategies to modify physical activities to enhance participation and enjoyment.</w:t>
            </w:r>
          </w:p>
        </w:tc>
        <w:tc>
          <w:tcPr>
            <w:tcW w:type="dxa" w:w="4820"/>
          </w:tcPr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Describe the significance of physical activity to health and wellbeing.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Describe their own and others' contributions to health, physical activity, safety and wellbeing.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Examine how physical activity, celebrating diversity and connecting to the environment support community wellbeing and cultural understanding.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Create an inclusive, safe physical activity that matches guidelines and accounts for diverse needs.</w:t>
            </w:r>
          </w:p>
        </w:tc>
      </w:tr>
    </w:tbl>
    <w:p>
      <w:pPr>
        <w:pStyle w:val="Heading1"/>
      </w:pPr>
      <w:r>
        <w:t>Session 1: Inclusive Game Design &amp; Health Analysis (60 min)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F4A261"/>
          <w:left w:val="single" w:sz="10" w:color="F4A261"/>
          <w:bottom w:val="single" w:sz="10" w:color="F4A261"/>
          <w:right w:val="single" w:sz="10" w:color="F4A261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DF3E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4A261"/>
                <w:sz w:val="18"/>
              </w:rPr>
              <w:t xml:space="preserve">SESSION 1 GOAL  </w:t>
            </w:r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Students analyse design constraints, invent an inclusive 6-player activity with step-by-step rules and spatial diagrams, and justify benefits across the 4 Dimensions of Health.</w:t>
            </w:r>
          </w:p>
        </w:tc>
      </w:tr>
    </w:tbl>
    <w:p>
      <w:pPr>
        <w:spacing w:after="0"/>
      </w:pP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850"/>
        <w:gridCol w:w="1900"/>
        <w:gridCol w:w="4400"/>
        <w:gridCol w:w="2490"/>
      </w:tblGrid>
      <w:tr>
        <w:trPr>
          <w:tblHeader w:val="true"/>
        </w:trP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Moves &amp; Prompts</w:t>
            </w:r>
          </w:p>
        </w:tc>
        <w:tc>
          <w:tcPr>
            <w:tcW w:type="dxa" w:w="24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to Notice</w:t>
            </w:r>
          </w:p>
        </w:tc>
      </w:tr>
      <w:tr>
        <w:tc>
          <w:tcPr>
            <w:tcW w:type="dxa" w:w="85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0–10 min</w:t>
            </w:r>
          </w:p>
        </w:tc>
        <w:tc>
          <w:tcPr>
            <w:tcW w:type="dxa" w:w="190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D1F2D"/>
                <w:sz w:val="17"/>
              </w:rPr>
              <w:t>Launch &amp; Challenge Deconstruction</w:t>
            </w:r>
          </w:p>
        </w:tc>
        <w:tc>
          <w:tcPr>
            <w:tcW w:type="dxa" w:w="440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Display Design Challenge. Explain non-negotiables: 6 players, 100% inclusion, ZERO elimination, minimal soft equipment, safe bounds. Review prior unit data (Weeks 1–4).</w:t>
            </w:r>
          </w:p>
        </w:tc>
        <w:tc>
          <w:tcPr>
            <w:tcW w:type="dxa" w:w="249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Look for students who default to standard knockout sports (e.g. dodgeball). Prompt: 'How does everyone stay moving 100% of the time?'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10–25 min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D1F2D"/>
                <w:sz w:val="17"/>
              </w:rPr>
              <w:t>Game Blueprint &amp; Spatial Diagram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Model worked example (Noodle Ball adapted from Dabi). Students complete Booklet pp. 2–3: Name, safe space (e.g., netball third), equipment, diagram grid, 5 numbered rules.</w:t>
            </w:r>
          </w:p>
        </w:tc>
        <w:tc>
          <w:tcPr>
            <w:tcW w:type="dxa" w:w="249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Check diagrams: clear starting positions, spatial boundaries, equipment marks, and flow arrows.</w:t>
            </w:r>
          </w:p>
        </w:tc>
      </w:tr>
      <w:tr>
        <w:tc>
          <w:tcPr>
            <w:tcW w:type="dxa" w:w="85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25–45 min</w:t>
            </w:r>
          </w:p>
        </w:tc>
        <w:tc>
          <w:tcPr>
            <w:tcW w:type="dxa" w:w="190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D1F2D"/>
                <w:sz w:val="17"/>
              </w:rPr>
              <w:t>4 Dimensions of Health &amp; Diversity Matrix</w:t>
            </w:r>
          </w:p>
        </w:tc>
        <w:tc>
          <w:tcPr>
            <w:tcW w:type="dxa" w:w="440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Project the 4 Dimensions matrix. Model specific explanations with because links. Students complete Booklet pp. 4–5 (Physical, Social, Emotional, Environmental + Accessibility/Culture adaptations).</w:t>
            </w:r>
          </w:p>
        </w:tc>
        <w:tc>
          <w:tcPr>
            <w:tcW w:type="dxa" w:w="249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Ensure responses describe mechanisms (e.g., 'Non-competitive format removes fear of mistakes, improving emotional confidence') rather than vague statements ('It is fun').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45–60 min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D1F2D"/>
                <w:sz w:val="17"/>
              </w:rPr>
              <w:t>Pair Safety Pitch &amp; Peer Audit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Pairs pitch games to each other using the Quick Safety Rubric: (1) Is collision risk low? (2) Is equipment soft? (3) Does everyone have an active role? Students revise rules.</w:t>
            </w:r>
          </w:p>
        </w:tc>
        <w:tc>
          <w:tcPr>
            <w:tcW w:type="dxa" w:w="249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Listen for immediate adjustments made to prevent bottlenecking or standing still.</w:t>
            </w:r>
          </w:p>
        </w:tc>
      </w:tr>
    </w:tbl>
    <w:p>
      <w:r>
        <w:br w:type="page"/>
      </w:r>
    </w:p>
    <w:p>
      <w:pPr>
        <w:pStyle w:val="Heading1"/>
      </w:pPr>
      <w:r>
        <w:t>Session 2: Peer Playtest Festival, Refinement &amp; Submission (60 min)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00A896"/>
          <w:left w:val="single" w:sz="10" w:color="00A896"/>
          <w:bottom w:val="single" w:sz="10" w:color="00A896"/>
          <w:right w:val="single" w:sz="10" w:color="00A896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 xml:space="preserve">SESSION 2 GOAL  </w:t>
            </w:r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Students run their 6-player games in an outdoor/court festival, collect structured peer feedback, execute a justified design refinement, and complete their GTMJ self-assessment.</w:t>
            </w:r>
          </w:p>
        </w:tc>
      </w:tr>
    </w:tbl>
    <w:p>
      <w:pPr>
        <w:spacing w:after="0"/>
      </w:pP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850"/>
        <w:gridCol w:w="1900"/>
        <w:gridCol w:w="4400"/>
        <w:gridCol w:w="2490"/>
      </w:tblGrid>
      <w:tr>
        <w:trPr>
          <w:tblHeader w:val="true"/>
        </w:trP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Moves &amp; Prompts</w:t>
            </w:r>
          </w:p>
        </w:tc>
        <w:tc>
          <w:tcPr>
            <w:tcW w:type="dxa" w:w="24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to Notice</w:t>
            </w:r>
          </w:p>
        </w:tc>
      </w:tr>
      <w:tr>
        <w:tc>
          <w:tcPr>
            <w:tcW w:type="dxa" w:w="85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0–10 min</w:t>
            </w:r>
          </w:p>
        </w:tc>
        <w:tc>
          <w:tcPr>
            <w:tcW w:type="dxa" w:w="190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D1F2D"/>
                <w:sz w:val="17"/>
              </w:rPr>
              <w:t>Safety Briefing &amp; Station Setup</w:t>
            </w:r>
          </w:p>
        </w:tc>
        <w:tc>
          <w:tcPr>
            <w:tcW w:type="dxa" w:w="440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Establish 4–6 outdoor game stations (netball court thirds, shaded oval zones). Assign equipment packs (cones, noodles, soft balls). Set rotation rules and whistle cues.</w:t>
            </w:r>
          </w:p>
        </w:tc>
        <w:tc>
          <w:tcPr>
            <w:tcW w:type="dxa" w:w="249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Ensure all students wear hats, appropriate footwear, and have water bottles.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10–35 min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D1F2D"/>
                <w:sz w:val="17"/>
              </w:rPr>
              <w:t>Peer Activity Festival (Live Playtesting)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Round 1 (12 min): Group A designers teach &amp; referee their games for 5 peers. Group B plays.</w:t>
              <w:br/>
              <w:t>Round 2 (12 min): Group B designers teach &amp; referee. Group A plays.</w:t>
            </w:r>
          </w:p>
        </w:tc>
        <w:tc>
          <w:tcPr>
            <w:tcW w:type="dxa" w:w="249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Observe student leadership: Are rules explained clearly? Do all 6 players participate actively? Is safety maintained?</w:t>
            </w:r>
          </w:p>
        </w:tc>
      </w:tr>
      <w:tr>
        <w:tc>
          <w:tcPr>
            <w:tcW w:type="dxa" w:w="85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35–45 min</w:t>
            </w:r>
          </w:p>
        </w:tc>
        <w:tc>
          <w:tcPr>
            <w:tcW w:type="dxa" w:w="190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D1F2D"/>
                <w:sz w:val="17"/>
              </w:rPr>
              <w:t>Peer Feedback &amp; Iterative Redesign</w:t>
            </w:r>
          </w:p>
        </w:tc>
        <w:tc>
          <w:tcPr>
            <w:tcW w:type="dxa" w:w="440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Students return to classroom. Peers complete Booklet p. 6 ('Two Stars and a Safety Wish'). Designers document at least one explicit rule/space change made based on testing.</w:t>
            </w:r>
          </w:p>
        </w:tc>
        <w:tc>
          <w:tcPr>
            <w:tcW w:type="dxa" w:w="2490"/>
            <w:shd w:fill="F7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Check that designers use the formula: 'I changed [Rule/Setup] because [Peer observation].'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45–60 min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D1F2D"/>
                <w:sz w:val="17"/>
              </w:rPr>
              <w:t>Final Reflection &amp; GTMJ Self-Assessment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Students finalise Booklet pp. 6–7: School community wellbeing statement and A–E GTMJ self-assessment rubric. Collect completed booklets for grading.</w:t>
            </w:r>
          </w:p>
        </w:tc>
        <w:tc>
          <w:tcPr>
            <w:tcW w:type="dxa" w:w="249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Check student justifications against the Guide to Making Judgments.</w:t>
            </w:r>
          </w:p>
        </w:tc>
      </w:tr>
    </w:tbl>
    <w:p>
      <w:pPr>
        <w:pStyle w:val="Heading1"/>
      </w:pPr>
      <w:r>
        <w:t>Teacher Worked Model: Noodle Ball (Adapted from Dabi)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3000"/>
        <w:gridCol w:w="664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Design Component</w:t>
            </w:r>
          </w:p>
        </w:tc>
        <w:tc>
          <w:tcPr>
            <w:tcW w:type="dxa" w:w="6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Exemplar Content</w:t>
            </w:r>
          </w:p>
        </w:tc>
      </w:tr>
      <w:tr>
        <w:tc>
          <w:tcPr>
            <w:tcW w:type="dxa" w:w="3000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Game Title</w:t>
            </w:r>
          </w:p>
        </w:tc>
        <w:tc>
          <w:tcPr>
            <w:tcW w:type="dxa" w:w="664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Noodle Ball (Adapted from Dabi, Mabuiag Island, Torres Strait)</w:t>
            </w:r>
          </w:p>
        </w:tc>
      </w:tr>
      <w:tr>
        <w:tc>
          <w:tcPr>
            <w:tcW w:type="dxa" w:w="3000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Safe Location</w:t>
            </w:r>
          </w:p>
        </w:tc>
        <w:tc>
          <w:tcPr>
            <w:tcW w:type="dxa" w:w="664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Two-thirds of a netball court (open boundaries, padded goalposts, asphalt/court surface).</w:t>
            </w:r>
          </w:p>
        </w:tc>
      </w:tr>
      <w:tr>
        <w:tc>
          <w:tcPr>
            <w:tcW w:type="dxa" w:w="3000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Equipment</w:t>
            </w:r>
          </w:p>
        </w:tc>
        <w:tc>
          <w:tcPr>
            <w:tcW w:type="dxa" w:w="664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6 foam pool noodles, 1 small soft foam ball, 8 boundary cones.</w:t>
            </w:r>
          </w:p>
        </w:tc>
      </w:tr>
      <w:tr>
        <w:tc>
          <w:tcPr>
            <w:tcW w:type="dxa" w:w="3000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No-Elimination Mechanism</w:t>
            </w:r>
          </w:p>
        </w:tc>
        <w:tc>
          <w:tcPr>
            <w:tcW w:type="dxa" w:w="664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Players pass in numbered sequence (1 to 6). On 'Change!', all drop noodles and rotate to the next stick. No goals, no scoring, continuous movement.</w:t>
            </w:r>
          </w:p>
        </w:tc>
      </w:tr>
      <w:tr>
        <w:tc>
          <w:tcPr>
            <w:tcW w:type="dxa" w:w="3000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Physical Health</w:t>
            </w:r>
          </w:p>
        </w:tc>
        <w:tc>
          <w:tcPr>
            <w:tcW w:type="dxa" w:w="664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Improves cardiovascular endurance through continuous running and hand-eye coordination by controlling and passing the ball with pool noodles.</w:t>
            </w:r>
          </w:p>
        </w:tc>
      </w:tr>
      <w:tr>
        <w:tc>
          <w:tcPr>
            <w:tcW w:type="dxa" w:w="3000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Social Health</w:t>
            </w:r>
          </w:p>
        </w:tc>
        <w:tc>
          <w:tcPr>
            <w:tcW w:type="dxa" w:w="664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Requires active communication, cooperation, and equal sharing since everyone must touch the ball before calling 'Change!'.</w:t>
            </w:r>
          </w:p>
        </w:tc>
      </w:tr>
      <w:tr>
        <w:tc>
          <w:tcPr>
            <w:tcW w:type="dxa" w:w="3000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Emotional Health</w:t>
            </w:r>
          </w:p>
        </w:tc>
        <w:tc>
          <w:tcPr>
            <w:tcW w:type="dxa" w:w="664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Eliminating scoring and outs creates a low-pressure environment where students feel confident to try without fear of making mistakes.</w:t>
            </w:r>
          </w:p>
        </w:tc>
      </w:tr>
      <w:tr>
        <w:tc>
          <w:tcPr>
            <w:tcW w:type="dxa" w:w="3000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Environmental Health</w:t>
            </w:r>
          </w:p>
        </w:tc>
        <w:tc>
          <w:tcPr>
            <w:tcW w:type="dxa" w:w="664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Takes place outdoors in fresh air; players are responsible for clearing hazards and litter before and after the game.</w:t>
            </w:r>
          </w:p>
        </w:tc>
      </w:tr>
      <w:tr>
        <w:tc>
          <w:tcPr>
            <w:tcW w:type="dxa" w:w="3000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Diversity Adaptation</w:t>
            </w:r>
          </w:p>
        </w:tc>
        <w:tc>
          <w:tcPr>
            <w:tcW w:type="dxa" w:w="664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Longer pool noodles allow seated or wheelchair players to reach the ground easily; boundaries expand or contract based on group mobility.</w:t>
            </w:r>
          </w:p>
        </w:tc>
      </w:tr>
    </w:tbl>
    <w:p>
      <w:r>
        <w:br w:type="page"/>
      </w:r>
    </w:p>
    <w:p>
      <w:pPr>
        <w:pStyle w:val="Heading1"/>
      </w:pPr>
      <w:r>
        <w:t>Differentiation Strategies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8" w:color="00A896"/>
          <w:left w:val="single" w:sz="8" w:color="00A896"/>
          <w:bottom w:val="single" w:sz="8" w:color="00A896"/>
          <w:right w:val="single" w:sz="8" w:color="00A896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r>
              <w:rPr>
                <w:rFonts w:ascii="Calibri" w:hAnsi="Calibri"/>
                <w:b/>
                <w:i w:val="0"/>
                <w:color w:val="0D1F2D"/>
                <w:sz w:val="22"/>
              </w:rPr>
              <w:t>Support Pathway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Provide pre-drawn court templates (netball court, oval zone) with boundary lines ready for player placement.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Offer sentence frames for the 4 Dimensions: 'This activity helps [Dimension] because [Movement/Rule], which leads to [Health Benefit].'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Provide a bank of inclusive mechanics: passing circles, cooperative tag without outs, synchronized movement, beanbag relay.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Pair with a peer partner for oral rehearsal before recording rules in the booklet.</w:t>
            </w:r>
          </w:p>
        </w:tc>
      </w:tr>
    </w:tbl>
    <w:p>
      <w:pPr>
        <w:spacing w:after="0"/>
      </w:pP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8" w:color="00A896"/>
          <w:left w:val="single" w:sz="8" w:color="00A896"/>
          <w:bottom w:val="single" w:sz="8" w:color="00A896"/>
          <w:right w:val="single" w:sz="8" w:color="00A896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DF3E7"/>
          </w:tcPr>
          <w:p>
            <w:r>
              <w:rPr>
                <w:rFonts w:ascii="Calibri" w:hAnsi="Calibri"/>
                <w:b/>
                <w:i w:val="0"/>
                <w:color w:val="0D1F2D"/>
                <w:sz w:val="22"/>
              </w:rPr>
              <w:t>Core Expectation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Complete all 7 booklet sections independently with clear spatial diagrams and 5 numbered rules.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Provide detailed rationales across all 4 dimensions of health with specific physiological/social mechanisms.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Successfully teach and manage the 6-player group during the outdoor festival, executing a justified refinement.</w:t>
            </w:r>
          </w:p>
        </w:tc>
      </w:tr>
    </w:tbl>
    <w:p>
      <w:pPr>
        <w:spacing w:after="0"/>
      </w:pP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8" w:color="E76F51"/>
          <w:left w:val="single" w:sz="8" w:color="E76F51"/>
          <w:bottom w:val="single" w:sz="8" w:color="E76F51"/>
          <w:right w:val="single" w:sz="8" w:color="E76F51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CEEEB"/>
          </w:tcPr>
          <w:p>
            <w:r>
              <w:rPr>
                <w:rFonts w:ascii="Calibri" w:hAnsi="Calibri"/>
                <w:b/>
                <w:i w:val="0"/>
                <w:color w:val="0D1F2D"/>
                <w:sz w:val="22"/>
              </w:rPr>
              <w:t>Extension Pathway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Incorporate a multi-tier scaling rule (e.g. progressive spatial constraints, variable tempo, dual-role challenges).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Explain how the game could be scaled for whole-school lunchtime implementation or adapted for junior primary buddies.</w:t>
            </w:r>
          </w:p>
          <w:p>
            <w:pPr>
              <w:pStyle w:val="ListBullet"/>
              <w:spacing w:after="50"/>
            </w:pPr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Analyse potential cultural or socioeconomic barriers to community physical activity and how their game circumvents them.</w:t>
            </w:r>
          </w:p>
        </w:tc>
      </w:tr>
    </w:tbl>
    <w:p>
      <w:pPr>
        <w:spacing w:after="0"/>
      </w:pPr>
    </w:p>
    <w:p>
      <w:pPr>
        <w:pStyle w:val="Heading1"/>
      </w:pPr>
      <w:r>
        <w:t>Guide to Making Judgments (GTMJ) Marking Rubric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1200"/>
        <w:gridCol w:w="4220"/>
        <w:gridCol w:w="4220"/>
      </w:tblGrid>
      <w:tr>
        <w:trPr>
          <w:tblHeader w:val="true"/>
        </w:trP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Grade</w:t>
            </w:r>
          </w:p>
        </w:tc>
        <w:tc>
          <w:tcPr>
            <w:tcW w:type="dxa" w:w="42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Knowledge &amp; Understanding</w:t>
            </w:r>
          </w:p>
        </w:tc>
        <w:tc>
          <w:tcPr>
            <w:tcW w:type="dxa" w:w="42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Investigating &amp; Applying</w:t>
            </w:r>
          </w:p>
        </w:tc>
      </w:tr>
      <w:tr>
        <w:tc>
          <w:tcPr>
            <w:tcW w:type="dxa" w:w="1200"/>
            <w:shd w:fill="E8F8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4"/>
              </w:rPr>
              <w:t>A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Comprehensive description of the significance of physical activity across all 4 dimensions of health. Creates an exceptionally detailed, safe, and 100% inclusive physical activity matching all guidelines.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Provides an insightful explanation of how the activity accounts for diversity, connects to the environment, and enhances community wellbeing. Executes a purposeful design refinement.</w:t>
            </w:r>
          </w:p>
        </w:tc>
      </w:tr>
      <w:tr>
        <w:tc>
          <w:tcPr>
            <w:tcW w:type="dxa" w:w="1200"/>
            <w:shd w:fill="E8F8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4"/>
              </w:rPr>
              <w:t>B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Detailed description of the significance of physical activity across multiple health dimensions. Creates a well-structured, safe, and inclusive physical activity that clearly matches guidelines.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Provides a clear explanation of how the activity accounts for diversity and supports the wellbeing of peers. Describes a relevant design refinement.</w:t>
            </w:r>
          </w:p>
        </w:tc>
      </w:tr>
      <w:tr>
        <w:tc>
          <w:tcPr>
            <w:tcW w:type="dxa" w:w="1200"/>
            <w:shd w:fill="FDF3E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4"/>
              </w:rPr>
              <w:t>C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Describes the significance of physical activity to health and wellbeing across physical, social, emotional, or environmental dimensions. Creates a safe physical activity matching key guidelines.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Describes how the activity accounts for student diversity and supports peer participation. Notes an adjustment made during testing.</w:t>
            </w:r>
          </w:p>
        </w:tc>
      </w:tr>
      <w:tr>
        <w:tc>
          <w:tcPr>
            <w:tcW w:type="dxa" w:w="1200"/>
            <w:shd w:fill="FCEEE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4"/>
              </w:rPr>
              <w:t>D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Identifies basic benefits of physical activity. Creates a simple physical activity with some guidelines omitted or safety/inclusion gaps.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States basic connections between physical activity and wellbeing. Identifies a simple change without clear justification.</w:t>
            </w:r>
          </w:p>
        </w:tc>
      </w:tr>
      <w:tr>
        <w:tc>
          <w:tcPr>
            <w:tcW w:type="dxa" w:w="1200"/>
            <w:shd w:fill="FCEEE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4"/>
              </w:rPr>
              <w:t>E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Lists fragmented facts about physical activity. Outlines an incomplete activity that does not meet safety or inclusion criteria.</w:t>
            </w:r>
          </w:p>
        </w:tc>
        <w:tc>
          <w:tcPr>
            <w:tcW w:type="dxa" w:w="4220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Makes isolated statements about personal physical activity without linking to diversity or community wellbeing.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37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/>
        <w:i w:val="0"/>
        <w:color w:val="4A5568"/>
        <w:sz w:val="16"/>
      </w:rPr>
      <w:t>LET'S ALL BE ACTIVE  |  YEAR 6 HEALTH  |  SUMMATIVE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00A896"/>
        <w:sz w:val="16"/>
      </w:rPr>
      <w:t>TEACHER LESSON PLAN — 2-SESSION SEQUENCE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1F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A8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D1F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D1F2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4A556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