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12d4e"/>
          <w:sz w:val="36"/>
          <w:szCs w:val="36"/>
        </w:rPr>
        <w:t xml:space="preserve">Lesson 15: Point of View - Floods</w:t>
      </w:r>
    </w:p>
    <w:p>
      <w:pPr>
        <w:spacing w:after="400"/>
      </w:pPr>
      <w:r>
        <w:rPr>
          <w:sz w:val="24"/>
          <w:szCs w:val="24"/>
        </w:rPr>
        <w:t xml:space="preserve">Name: ______________________   Date: _____________</w:t>
      </w:r>
    </w:p>
    <w:p>
      <w:pPr>
        <w:pStyle w:val="Heading2"/>
        <w:spacing w:after="200" w:before="200"/>
      </w:pPr>
      <w:r>
        <w:rPr>
          <w:b/>
          <w:bCs/>
          <w:color w:val="f96d00"/>
          <w:sz w:val="28"/>
          <w:szCs w:val="28"/>
        </w:rPr>
        <w:t xml:space="preserve">Source A: The Morning the River Came In (Personal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0e0e0"/>
            <w:tcMar>
              <w:top w:type="dxa" w:w="200"/>
              <w:left w:type="dxa" w:w="200"/>
              <w:bottom w:type="dxa" w:w="200"/>
              <w:right w:type="dxa" w:w="200"/>
            </w:tcMar>
          </w:tcPr>
          <w:p>
            <w:r>
              <w:rPr>
                <w:i/>
                <w:iCs/>
                <w:sz w:val="22"/>
                <w:szCs w:val="22"/>
              </w:rPr>
              <w:t xml:space="preserve">I'll never forget the sound—a low, rhythmic thumping that I thought was my neighbor's generator. It wasn't. It was the river, thick and brown like liquid chocolate, battering against the brickwork of my garage. By the time I realised what was happening, the water was already over my ankles. It was cold, colder than you'd expect, and it had this sharp, chemical smell that stung my nose.
We had thirty minutes to grab what we could. I stood in the hallway, looking at twenty years of memories and knowing I couldn't save them. I grabbed the photo albums and the kids' school trophies, but everything else—the sofa, the books, the old rug my grandmother gave me—it all felt like it was already gone. Watching the water seep into the floorboards felt like watching someone slowly take my home away.
By the time the SES boat arrived at our front window, our street had turned into a muddy ocean. People were shouting, dogs were barking from rooftops, and the air was filled with a sense of utter disbelief. We weren't just losing our houses; we were losing our sense of safety.</w:t>
            </w:r>
          </w:p>
        </w:tc>
      </w:tr>
    </w:tbl>
    <w:p>
      <w:pPr>
        <w:pStyle w:val="Heading2"/>
        <w:spacing w:after="200" w:before="400"/>
      </w:pPr>
      <w:r>
        <w:rPr>
          <w:b/>
          <w:bCs/>
          <w:color w:val="3f72af"/>
          <w:sz w:val="28"/>
          <w:szCs w:val="28"/>
        </w:rPr>
        <w:t xml:space="preserve">Source B: Floods Archive - The Human Cost (Scientific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0e0e0"/>
            <w:tcMar>
              <w:top w:type="dxa" w:w="200"/>
              <w:left w:type="dxa" w:w="200"/>
              <w:bottom w:type="dxa" w:w="200"/>
              <w:right w:type="dxa" w:w="200"/>
            </w:tcMar>
          </w:tcPr>
          <w:p>
            <w:r>
              <w:rPr>
                <w:sz w:val="22"/>
                <w:szCs w:val="22"/>
              </w:rPr>
              <w:t xml:space="preserve">The 2011 and 2022 Queensland flood events resulted in significant socio-economic disruption. Beyond the immediate loss of life (46 fatalities), the compounding effects on community mental health have been substantial. The Australian Institute of Health and Welfare notes a correlation between repeated inundation and increased rates of anxiety and PTSD. Economically, the Deloitte report estimated the social and financial cost of the 2022 floods at A$7.7 billion, including A$6.4 billion in insured losses. Environmental impacts were also severe, with over 1 million tonnes of sediment discharged into Moreton Bay, disrupting marine habitats and fluvial geomorphology.</w:t>
            </w:r>
          </w:p>
        </w:tc>
      </w:tr>
    </w:tbl>
    <w:p>
      <w:pPr>
        <w:pStyle w:val="Heading2"/>
        <w:spacing w:after="200" w:before="400"/>
      </w:pPr>
      <w:r>
        <w:rPr>
          <w:b/>
          <w:bCs/>
          <w:color w:val="112d4e"/>
          <w:sz w:val="28"/>
          <w:szCs w:val="28"/>
        </w:rPr>
        <w:t xml:space="preserve">Comparison Challenge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12d4e"/>
          </w:tcPr>
          <w:p>
            <w:pPr>
              <w:jc w:val="center"/>
            </w:pPr>
            <w:r>
              <w:rPr>
                <w:b/>
                <w:bCs/>
                <w:color w:val="f9f7f7"/>
              </w:rPr>
              <w:t xml:space="preserve">Feature</w:t>
            </w:r>
          </w:p>
        </w:tc>
        <w:tc>
          <w:tcPr>
            <w:shd w:fill="f96d00"/>
          </w:tcPr>
          <w:p>
            <w:pPr>
              <w:jc w:val="center"/>
            </w:pPr>
            <w:r>
              <w:rPr>
                <w:b/>
                <w:bCs/>
                <w:color w:val="f9f7f7"/>
              </w:rPr>
              <w:t xml:space="preserve">Source A (Survivor)</w:t>
            </w:r>
          </w:p>
        </w:tc>
        <w:tc>
          <w:tcPr>
            <w:shd w:fill="3f72af"/>
          </w:tcPr>
          <w:p>
            <w:pPr>
              <w:jc w:val="center"/>
            </w:pPr>
            <w:r>
              <w:rPr>
                <w:b/>
                <w:bCs/>
                <w:color w:val="f9f7f7"/>
              </w:rPr>
              <w:t xml:space="preserve">Source B (Archive)</w:t>
            </w:r>
          </w:p>
        </w:tc>
      </w:tr>
      <w:tr>
        <w:tc>
          <w:p>
            <w:r>
              <w:t xml:space="preserve">Tone (Feel)</w:t>
            </w:r>
          </w:p>
        </w:tc>
        <w:tc>
          <w:p/>
        </w:tc>
        <w:tc>
          <w:p/>
        </w:tc>
      </w:tr>
      <w:tr>
        <w:tc>
          <w:p>
            <w:r>
              <w:t xml:space="preserve">Key Vocabulary</w:t>
            </w:r>
          </w:p>
        </w:tc>
        <w:tc>
          <w:p/>
        </w:tc>
        <w:tc>
          <w:p/>
        </w:tc>
      </w:tr>
      <w:tr>
        <w:tc>
          <w:p>
            <w:r>
              <w:t xml:space="preserve">Primary Focus</w:t>
            </w:r>
          </w:p>
        </w:tc>
        <w:tc>
          <w:p/>
        </w:tc>
        <w:tc>
          <w:p/>
        </w:tc>
      </w:tr>
    </w:tbl>
    <w:p>
      <w:pPr>
        <w:spacing w:before="400"/>
      </w:pPr>
      <w:r>
        <w:rPr>
          <w:b/>
          <w:bCs/>
          <w:sz w:val="24"/>
          <w:szCs w:val="24"/>
        </w:rPr>
        <w:t xml:space="preserve">
Analysis Question:</w:t>
      </w:r>
    </w:p>
    <w:p>
      <w:pPr>
        <w:spacing w:after="200"/>
      </w:pPr>
      <w:r>
        <w:rPr>
          <w:sz w:val="22"/>
          <w:szCs w:val="22"/>
        </w:rPr>
        <w:t xml:space="preserve">The author's point of view in Source B is different from Source A because... (Explain using examples from the text)</w:t>
      </w:r>
    </w:p>
    <w:p>
      <w:r>
        <w:t xml:space="preserve">____________________________________________________________________________________________________</w:t>
      </w:r>
    </w:p>
    <w:p>
      <w:r>
        <w:t xml:space="preserve">____________________________________________________________________________________________________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2026-05-06T06:00:39.497Z</dcterms:created>
  <dcterms:modified xsi:type="dcterms:W3CDTF">2026-05-06T06:00:39.497Z</dcterms:modified>
</cp:coreProperties>
</file>

<file path=docProps/custom.xml><?xml version="1.0" encoding="utf-8"?>
<Properties xmlns="http://schemas.openxmlformats.org/officeDocument/2006/custom-properties" xmlns:vt="http://schemas.openxmlformats.org/officeDocument/2006/docPropsVTypes"/>
</file>