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00" w:after="100"/>
      </w:pPr>
      <w:r>
        <w:t xml:space="preserve">**Speaking and Listening**</w:t>
      </w:r>
    </w:p>
    <w:p>
      <w:pPr>
        <w:spacing w:after="120"/>
      </w:pPr>
      <w:r>
        <w:t xml:space="preserve">Interact with others, and listen to and create spoken texts including stories</w:t>
      </w:r>
    </w:p>
    <w:p>
      <w:pPr>
        <w:spacing w:after="120"/>
      </w:pPr>
      <w:r>
        <w:t xml:space="preserve">Share ideas, topic knowledge and appreciation of texts when they recount, inform or express an opinion, including details from learnt topics, topics of interest or texts.</w:t>
      </w:r>
    </w:p>
    <w:p>
      <w:pPr>
        <w:spacing w:after="120"/>
      </w:pPr>
      <w:r>
        <w:t xml:space="preserve">Organise and link ideas, and use language features including topic-specific vocabulary and features of voice.</w:t>
      </w:r>
    </w:p>
    <w:p>
      <w:pPr>
        <w:pStyle w:val="Heading2"/>
        <w:spacing w:before="200" w:after="100"/>
      </w:pPr>
      <w:r>
        <w:t xml:space="preserve">Reading, viewing, and comprehension</w:t>
      </w:r>
    </w:p>
    <w:p>
      <w:pPr>
        <w:spacing w:after="120"/>
      </w:pPr>
      <w:r>
        <w:t xml:space="preserve">Read, view and comprehend texts, identifying literal and inferred meaning, and how ideas are presented through characters and events.</w:t>
      </w:r>
    </w:p>
    <w:p>
      <w:pPr>
        <w:spacing w:after="120"/>
      </w:pPr>
      <w:r>
        <w:t xml:space="preserve">Describe how similar topics and information are presented through the structure of narrative and informative texts, and identify their language features and visual features.</w:t>
      </w:r>
    </w:p>
    <w:p>
      <w:pPr>
        <w:spacing w:after="120"/>
      </w:pPr>
      <w:r>
        <w:t xml:space="preserve">Use phonic and morphemic knowledge, and grammatical patterns to read unfamiliar words and most high-frequency words.</w:t>
      </w:r>
    </w:p>
    <w:p>
      <w:pPr>
        <w:spacing w:after="120"/>
      </w:pPr>
      <w:r>
        <w:t xml:space="preserve">Use punctuation for phrasing and fluency.</w:t>
      </w:r>
    </w:p>
    <w:p>
      <w:pPr>
        <w:pStyle w:val="Heading2"/>
        <w:spacing w:before="200" w:after="100"/>
      </w:pPr>
      <w:r>
        <w:t xml:space="preserve">Writing and creating</w:t>
      </w:r>
    </w:p>
    <w:p>
      <w:pPr>
        <w:spacing w:after="120"/>
      </w:pPr>
      <w:r>
        <w:t xml:space="preserve">Create written and/or multimodal texts including stories to inform, express an opinion, adapt an idea or narrate for audiences</w:t>
      </w:r>
    </w:p>
    <w:p>
      <w:pPr>
        <w:spacing w:after="120"/>
      </w:pPr>
      <w:r>
        <w:t xml:space="preserve">Use text structures to organise and link ideas for a purpose</w:t>
      </w:r>
    </w:p>
    <w:p>
      <w:pPr>
        <w:spacing w:after="120"/>
      </w:pPr>
      <w:r>
        <w:t xml:space="preserve">Punctuate simple and compound sentences</w:t>
      </w:r>
    </w:p>
    <w:p>
      <w:pPr>
        <w:spacing w:after="120"/>
      </w:pPr>
      <w:r>
        <w:t xml:space="preserve">Use topic-specific vocabulary</w:t>
      </w:r>
    </w:p>
    <w:p>
      <w:pPr>
        <w:spacing w:after="120"/>
      </w:pPr>
      <w:r>
        <w:t xml:space="preserve">Write words using consistently legible unjoined letters</w:t>
      </w:r>
    </w:p>
    <w:p>
      <w:pPr>
        <w:spacing w:after="120"/>
      </w:pPr>
      <w:r>
        <w:t xml:space="preserve">Spell words with regular spelling patterns, and use phonic and morphemic knowledge to attempt to spell words with less common patterns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2026-02-18T09:28:00.820Z</dcterms:created>
  <dcterms:modified xsi:type="dcterms:W3CDTF">2026-02-18T09:28:00.821Z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