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50238" w14:textId="77777777" w:rsidR="00C325E6" w:rsidRDefault="00000000" w:rsidP="00B1057B">
      <w:pPr>
        <w:spacing w:after="60"/>
        <w:ind w:left="-709"/>
      </w:pPr>
      <w:r>
        <w:rPr>
          <w:b/>
          <w:bCs/>
          <w:color w:val="C2410C"/>
          <w:sz w:val="16"/>
          <w:szCs w:val="16"/>
        </w:rPr>
        <w:t>LITERACY &amp; READABILITY AUDIT</w:t>
      </w:r>
    </w:p>
    <w:p w14:paraId="2982D844" w14:textId="77777777" w:rsidR="00C325E6" w:rsidRDefault="00000000">
      <w:pPr>
        <w:spacing w:after="120"/>
      </w:pPr>
      <w:r>
        <w:rPr>
          <w:b/>
          <w:bCs/>
          <w:sz w:val="40"/>
          <w:szCs w:val="40"/>
        </w:rPr>
        <w:t>Text Analysis Report: Causes of Earthquakes</w:t>
      </w:r>
    </w:p>
    <w:p w14:paraId="1BAF6BD8" w14:textId="77777777" w:rsidR="00C325E6" w:rsidRDefault="00000000">
      <w:pPr>
        <w:spacing w:after="360"/>
      </w:pPr>
      <w:r>
        <w:rPr>
          <w:color w:val="57606A"/>
          <w:sz w:val="18"/>
          <w:szCs w:val="18"/>
        </w:rPr>
        <w:t xml:space="preserve">Lesson 25.2 Reading </w:t>
      </w:r>
      <w:proofErr w:type="gramStart"/>
      <w:r>
        <w:rPr>
          <w:color w:val="57606A"/>
          <w:sz w:val="18"/>
          <w:szCs w:val="18"/>
        </w:rPr>
        <w:t>Stimulus  ■</w:t>
      </w:r>
      <w:proofErr w:type="gramEnd"/>
      <w:r>
        <w:rPr>
          <w:color w:val="57606A"/>
          <w:sz w:val="18"/>
          <w:szCs w:val="18"/>
        </w:rPr>
        <w:t xml:space="preserve">  Target Level: Year 5 (L2</w:t>
      </w:r>
      <w:proofErr w:type="gramStart"/>
      <w:r>
        <w:rPr>
          <w:color w:val="57606A"/>
          <w:sz w:val="18"/>
          <w:szCs w:val="18"/>
        </w:rPr>
        <w:t>)  ■</w:t>
      </w:r>
      <w:proofErr w:type="gramEnd"/>
      <w:r>
        <w:rPr>
          <w:color w:val="57606A"/>
          <w:sz w:val="18"/>
          <w:szCs w:val="18"/>
        </w:rPr>
        <w:t xml:space="preserve">  Australian Curriculum AC v9</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25E6" w14:paraId="40D2CE70" w14:textId="77777777">
        <w:tblPrEx>
          <w:tblCellMar>
            <w:top w:w="0" w:type="dxa"/>
            <w:bottom w:w="0" w:type="dxa"/>
          </w:tblCellMar>
        </w:tblPrEx>
        <w:tc>
          <w:tcPr>
            <w:tcW w:w="9026" w:type="dxa"/>
            <w:tcBorders>
              <w:bottom w:val="double" w:sz="8" w:space="0" w:color="DCDBD7"/>
            </w:tcBorders>
          </w:tcPr>
          <w:p w14:paraId="33C8FE5C" w14:textId="77777777" w:rsidR="00C325E6" w:rsidRDefault="00C325E6"/>
        </w:tc>
      </w:tr>
    </w:tbl>
    <w:p w14:paraId="72466F4F" w14:textId="77777777" w:rsidR="00C325E6" w:rsidRDefault="00C325E6">
      <w:pPr>
        <w:spacing w:before="240"/>
      </w:pPr>
    </w:p>
    <w:p w14:paraId="132914A0" w14:textId="77777777" w:rsidR="00C325E6" w:rsidRDefault="00000000">
      <w:r>
        <w:rPr>
          <w:b/>
          <w:bCs/>
          <w:sz w:val="22"/>
          <w:szCs w:val="22"/>
        </w:rPr>
        <w:t>1. Executive Summary</w:t>
      </w:r>
    </w:p>
    <w:p w14:paraId="2A08F965" w14:textId="77777777" w:rsidR="00C325E6" w:rsidRDefault="00C325E6">
      <w:pPr>
        <w:spacing w:before="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80" w:type="dxa"/>
          <w:bottom w:w="180" w:type="dxa"/>
          <w:right w:w="180" w:type="dxa"/>
        </w:tblCellMar>
        <w:tblLook w:val="04A0" w:firstRow="1" w:lastRow="0" w:firstColumn="1" w:lastColumn="0" w:noHBand="0" w:noVBand="1"/>
      </w:tblPr>
      <w:tblGrid>
        <w:gridCol w:w="9026"/>
      </w:tblGrid>
      <w:tr w:rsidR="00C325E6" w14:paraId="01B9F56C" w14:textId="77777777">
        <w:tc>
          <w:tcPr>
            <w:tcW w:w="9026" w:type="dxa"/>
            <w:tcBorders>
              <w:top w:val="single" w:sz="1" w:space="0" w:color="DCDBD7"/>
              <w:left w:val="single" w:sz="24" w:space="0" w:color="C2410C"/>
              <w:bottom w:val="single" w:sz="1" w:space="0" w:color="DCDBD7"/>
              <w:right w:val="single" w:sz="1" w:space="0" w:color="DCDBD7"/>
            </w:tcBorders>
            <w:shd w:val="clear" w:color="auto" w:fill="FAF9F5"/>
          </w:tcPr>
          <w:p w14:paraId="3554652B" w14:textId="77777777" w:rsidR="00C325E6" w:rsidRDefault="00000000">
            <w:r>
              <w:rPr>
                <w:b/>
                <w:bCs/>
              </w:rPr>
              <w:t xml:space="preserve">Overall Alignment: </w:t>
            </w:r>
            <w:r>
              <w:rPr>
                <w:b/>
                <w:bCs/>
                <w:color w:val="15803D"/>
              </w:rPr>
              <w:t>PASS</w:t>
            </w:r>
            <w:r>
              <w:t xml:space="preserve"> — The reading text is exceptionally well-calibrated for Year 5 students (L2, ages 10-11). The Flesch-Kincaid Grade Level of </w:t>
            </w:r>
            <w:r>
              <w:rPr>
                <w:b/>
                <w:bCs/>
              </w:rPr>
              <w:t>6.0</w:t>
            </w:r>
            <w:r>
              <w:t xml:space="preserve"> and Flesch Reading Ease of </w:t>
            </w:r>
            <w:r>
              <w:rPr>
                <w:b/>
                <w:bCs/>
              </w:rPr>
              <w:t>73.6</w:t>
            </w:r>
            <w:r>
              <w:t xml:space="preserve"> sit precisely within the target ranges. Sentence structure is varied and accessible, keeping cognitive load low while supporting academic language growth.</w:t>
            </w:r>
          </w:p>
        </w:tc>
      </w:tr>
    </w:tbl>
    <w:p w14:paraId="5608D8B2" w14:textId="77777777" w:rsidR="00C325E6" w:rsidRDefault="00C325E6">
      <w:pPr>
        <w:spacing w:before="240"/>
      </w:pPr>
    </w:p>
    <w:p w14:paraId="2C6E01CE" w14:textId="77777777" w:rsidR="00C325E6" w:rsidRDefault="00000000">
      <w:r>
        <w:rPr>
          <w:b/>
          <w:bCs/>
          <w:sz w:val="22"/>
          <w:szCs w:val="22"/>
        </w:rPr>
        <w:t>2. Readability Metrics &amp; Scores</w:t>
      </w:r>
    </w:p>
    <w:p w14:paraId="1347FDDA" w14:textId="77777777" w:rsidR="00C325E6" w:rsidRDefault="00C325E6">
      <w:pPr>
        <w:spacing w:before="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000"/>
        <w:gridCol w:w="2000"/>
        <w:gridCol w:w="2500"/>
        <w:gridCol w:w="1526"/>
      </w:tblGrid>
      <w:tr w:rsidR="00C325E6" w14:paraId="6091F5EA" w14:textId="77777777">
        <w:trPr>
          <w:tblHeader/>
        </w:trPr>
        <w:tc>
          <w:tcPr>
            <w:tcW w:w="3000" w:type="dxa"/>
            <w:tcBorders>
              <w:top w:val="single" w:sz="1" w:space="0" w:color="DCDBD7"/>
              <w:left w:val="single" w:sz="1" w:space="0" w:color="DCDBD7"/>
              <w:bottom w:val="single" w:sz="12" w:space="0" w:color="C2410C"/>
              <w:right w:val="single" w:sz="1" w:space="0" w:color="DCDBD7"/>
            </w:tcBorders>
            <w:shd w:val="clear" w:color="auto" w:fill="1E242B"/>
          </w:tcPr>
          <w:p w14:paraId="4BE248A5" w14:textId="77777777" w:rsidR="00C325E6" w:rsidRDefault="00000000">
            <w:r>
              <w:rPr>
                <w:b/>
                <w:bCs/>
                <w:color w:val="FFFFFF"/>
              </w:rPr>
              <w:t>Readability Metric</w:t>
            </w:r>
          </w:p>
        </w:tc>
        <w:tc>
          <w:tcPr>
            <w:tcW w:w="2000" w:type="dxa"/>
            <w:tcBorders>
              <w:top w:val="single" w:sz="1" w:space="0" w:color="DCDBD7"/>
              <w:left w:val="single" w:sz="1" w:space="0" w:color="DCDBD7"/>
              <w:bottom w:val="single" w:sz="12" w:space="0" w:color="C2410C"/>
              <w:right w:val="single" w:sz="1" w:space="0" w:color="DCDBD7"/>
            </w:tcBorders>
            <w:shd w:val="clear" w:color="auto" w:fill="1E242B"/>
          </w:tcPr>
          <w:p w14:paraId="4309C17A" w14:textId="77777777" w:rsidR="00C325E6" w:rsidRDefault="00000000">
            <w:r>
              <w:rPr>
                <w:b/>
                <w:bCs/>
                <w:color w:val="FFFFFF"/>
              </w:rPr>
              <w:t>Score</w:t>
            </w:r>
          </w:p>
        </w:tc>
        <w:tc>
          <w:tcPr>
            <w:tcW w:w="2500" w:type="dxa"/>
            <w:tcBorders>
              <w:top w:val="single" w:sz="1" w:space="0" w:color="DCDBD7"/>
              <w:left w:val="single" w:sz="1" w:space="0" w:color="DCDBD7"/>
              <w:bottom w:val="single" w:sz="12" w:space="0" w:color="C2410C"/>
              <w:right w:val="single" w:sz="1" w:space="0" w:color="DCDBD7"/>
            </w:tcBorders>
            <w:shd w:val="clear" w:color="auto" w:fill="1E242B"/>
          </w:tcPr>
          <w:p w14:paraId="68502F7F" w14:textId="77777777" w:rsidR="00C325E6" w:rsidRDefault="00000000">
            <w:r>
              <w:rPr>
                <w:b/>
                <w:bCs/>
                <w:color w:val="FFFFFF"/>
              </w:rPr>
              <w:t>L2 Target Range</w:t>
            </w:r>
          </w:p>
        </w:tc>
        <w:tc>
          <w:tcPr>
            <w:tcW w:w="1526" w:type="dxa"/>
            <w:tcBorders>
              <w:top w:val="single" w:sz="1" w:space="0" w:color="DCDBD7"/>
              <w:left w:val="single" w:sz="1" w:space="0" w:color="DCDBD7"/>
              <w:bottom w:val="single" w:sz="12" w:space="0" w:color="C2410C"/>
              <w:right w:val="single" w:sz="1" w:space="0" w:color="DCDBD7"/>
            </w:tcBorders>
            <w:shd w:val="clear" w:color="auto" w:fill="1E242B"/>
          </w:tcPr>
          <w:p w14:paraId="673B1498" w14:textId="77777777" w:rsidR="00C325E6" w:rsidRDefault="00000000">
            <w:r>
              <w:rPr>
                <w:b/>
                <w:bCs/>
                <w:color w:val="FFFFFF"/>
              </w:rPr>
              <w:t>Status</w:t>
            </w:r>
          </w:p>
        </w:tc>
      </w:tr>
      <w:tr w:rsidR="00C325E6" w14:paraId="09B9B5B7" w14:textId="77777777">
        <w:tc>
          <w:tcPr>
            <w:tcW w:w="3000" w:type="dxa"/>
            <w:tcBorders>
              <w:top w:val="single" w:sz="1" w:space="0" w:color="DCDBD7"/>
              <w:left w:val="single" w:sz="1" w:space="0" w:color="DCDBD7"/>
              <w:bottom w:val="single" w:sz="1" w:space="0" w:color="DCDBD7"/>
              <w:right w:val="single" w:sz="1" w:space="0" w:color="DCDBD7"/>
            </w:tcBorders>
          </w:tcPr>
          <w:p w14:paraId="5A940505" w14:textId="77777777" w:rsidR="00C325E6" w:rsidRDefault="00000000">
            <w:r>
              <w:t>Flesch Reading Ease</w:t>
            </w:r>
          </w:p>
        </w:tc>
        <w:tc>
          <w:tcPr>
            <w:tcW w:w="2000" w:type="dxa"/>
            <w:tcBorders>
              <w:top w:val="single" w:sz="1" w:space="0" w:color="DCDBD7"/>
              <w:left w:val="single" w:sz="1" w:space="0" w:color="DCDBD7"/>
              <w:bottom w:val="single" w:sz="1" w:space="0" w:color="DCDBD7"/>
              <w:right w:val="single" w:sz="1" w:space="0" w:color="DCDBD7"/>
            </w:tcBorders>
          </w:tcPr>
          <w:p w14:paraId="7B918A0C" w14:textId="77777777" w:rsidR="00C325E6" w:rsidRDefault="00000000">
            <w:r>
              <w:rPr>
                <w:b/>
                <w:bCs/>
              </w:rPr>
              <w:t>73.6</w:t>
            </w:r>
          </w:p>
        </w:tc>
        <w:tc>
          <w:tcPr>
            <w:tcW w:w="2500" w:type="dxa"/>
            <w:tcBorders>
              <w:top w:val="single" w:sz="1" w:space="0" w:color="DCDBD7"/>
              <w:left w:val="single" w:sz="1" w:space="0" w:color="DCDBD7"/>
              <w:bottom w:val="single" w:sz="1" w:space="0" w:color="DCDBD7"/>
              <w:right w:val="single" w:sz="1" w:space="0" w:color="DCDBD7"/>
            </w:tcBorders>
          </w:tcPr>
          <w:p w14:paraId="1969EA85" w14:textId="77777777" w:rsidR="00C325E6" w:rsidRDefault="00000000">
            <w:r>
              <w:t>68 – 82 (Optimal)</w:t>
            </w:r>
          </w:p>
        </w:tc>
        <w:tc>
          <w:tcPr>
            <w:tcW w:w="1526" w:type="dxa"/>
            <w:tcBorders>
              <w:top w:val="single" w:sz="1" w:space="0" w:color="DCDBD7"/>
              <w:left w:val="single" w:sz="1" w:space="0" w:color="DCDBD7"/>
              <w:bottom w:val="single" w:sz="1" w:space="0" w:color="DCDBD7"/>
              <w:right w:val="single" w:sz="1" w:space="0" w:color="DCDBD7"/>
            </w:tcBorders>
          </w:tcPr>
          <w:p w14:paraId="0F56A30C" w14:textId="77777777" w:rsidR="00C325E6" w:rsidRDefault="00000000">
            <w:r>
              <w:rPr>
                <w:b/>
                <w:bCs/>
                <w:color w:val="15803D"/>
              </w:rPr>
              <w:t>PASS</w:t>
            </w:r>
          </w:p>
        </w:tc>
      </w:tr>
      <w:tr w:rsidR="00C325E6" w14:paraId="1E057587" w14:textId="77777777">
        <w:tc>
          <w:tcPr>
            <w:tcW w:w="3000" w:type="dxa"/>
            <w:tcBorders>
              <w:top w:val="single" w:sz="1" w:space="0" w:color="DCDBD7"/>
              <w:left w:val="single" w:sz="1" w:space="0" w:color="DCDBD7"/>
              <w:bottom w:val="single" w:sz="1" w:space="0" w:color="DCDBD7"/>
              <w:right w:val="single" w:sz="1" w:space="0" w:color="DCDBD7"/>
            </w:tcBorders>
            <w:shd w:val="clear" w:color="auto" w:fill="FAF9F5"/>
          </w:tcPr>
          <w:p w14:paraId="347CE35B" w14:textId="77777777" w:rsidR="00C325E6" w:rsidRDefault="00000000">
            <w:r>
              <w:t>Flesch-Kincaid Grade</w:t>
            </w:r>
          </w:p>
        </w:tc>
        <w:tc>
          <w:tcPr>
            <w:tcW w:w="2000" w:type="dxa"/>
            <w:tcBorders>
              <w:top w:val="single" w:sz="1" w:space="0" w:color="DCDBD7"/>
              <w:left w:val="single" w:sz="1" w:space="0" w:color="DCDBD7"/>
              <w:bottom w:val="single" w:sz="1" w:space="0" w:color="DCDBD7"/>
              <w:right w:val="single" w:sz="1" w:space="0" w:color="DCDBD7"/>
            </w:tcBorders>
            <w:shd w:val="clear" w:color="auto" w:fill="FAF9F5"/>
          </w:tcPr>
          <w:p w14:paraId="362AE48A" w14:textId="77777777" w:rsidR="00C325E6" w:rsidRDefault="00000000">
            <w:r>
              <w:rPr>
                <w:b/>
                <w:bCs/>
              </w:rPr>
              <w:t>6.0</w:t>
            </w:r>
          </w:p>
        </w:tc>
        <w:tc>
          <w:tcPr>
            <w:tcW w:w="2500" w:type="dxa"/>
            <w:tcBorders>
              <w:top w:val="single" w:sz="1" w:space="0" w:color="DCDBD7"/>
              <w:left w:val="single" w:sz="1" w:space="0" w:color="DCDBD7"/>
              <w:bottom w:val="single" w:sz="1" w:space="0" w:color="DCDBD7"/>
              <w:right w:val="single" w:sz="1" w:space="0" w:color="DCDBD7"/>
            </w:tcBorders>
            <w:shd w:val="clear" w:color="auto" w:fill="FAF9F5"/>
          </w:tcPr>
          <w:p w14:paraId="268E4ABD" w14:textId="77777777" w:rsidR="00C325E6" w:rsidRDefault="00000000">
            <w:r>
              <w:t>4.5 – 6.5</w:t>
            </w:r>
          </w:p>
        </w:tc>
        <w:tc>
          <w:tcPr>
            <w:tcW w:w="1526" w:type="dxa"/>
            <w:tcBorders>
              <w:top w:val="single" w:sz="1" w:space="0" w:color="DCDBD7"/>
              <w:left w:val="single" w:sz="1" w:space="0" w:color="DCDBD7"/>
              <w:bottom w:val="single" w:sz="1" w:space="0" w:color="DCDBD7"/>
              <w:right w:val="single" w:sz="1" w:space="0" w:color="DCDBD7"/>
            </w:tcBorders>
            <w:shd w:val="clear" w:color="auto" w:fill="FAF9F5"/>
          </w:tcPr>
          <w:p w14:paraId="3BD60EE0" w14:textId="77777777" w:rsidR="00C325E6" w:rsidRDefault="00000000">
            <w:r>
              <w:rPr>
                <w:b/>
                <w:bCs/>
                <w:color w:val="15803D"/>
              </w:rPr>
              <w:t>PASS</w:t>
            </w:r>
          </w:p>
        </w:tc>
      </w:tr>
      <w:tr w:rsidR="00C325E6" w14:paraId="5F6A3384" w14:textId="77777777">
        <w:tc>
          <w:tcPr>
            <w:tcW w:w="3000" w:type="dxa"/>
            <w:tcBorders>
              <w:top w:val="single" w:sz="1" w:space="0" w:color="DCDBD7"/>
              <w:left w:val="single" w:sz="1" w:space="0" w:color="DCDBD7"/>
              <w:bottom w:val="single" w:sz="1" w:space="0" w:color="DCDBD7"/>
              <w:right w:val="single" w:sz="1" w:space="0" w:color="DCDBD7"/>
            </w:tcBorders>
          </w:tcPr>
          <w:p w14:paraId="527A80D4" w14:textId="77777777" w:rsidR="00C325E6" w:rsidRDefault="00000000">
            <w:r>
              <w:t>Gunning Fog Score</w:t>
            </w:r>
          </w:p>
        </w:tc>
        <w:tc>
          <w:tcPr>
            <w:tcW w:w="2000" w:type="dxa"/>
            <w:tcBorders>
              <w:top w:val="single" w:sz="1" w:space="0" w:color="DCDBD7"/>
              <w:left w:val="single" w:sz="1" w:space="0" w:color="DCDBD7"/>
              <w:bottom w:val="single" w:sz="1" w:space="0" w:color="DCDBD7"/>
              <w:right w:val="single" w:sz="1" w:space="0" w:color="DCDBD7"/>
            </w:tcBorders>
          </w:tcPr>
          <w:p w14:paraId="40AD151D" w14:textId="77777777" w:rsidR="00C325E6" w:rsidRDefault="00000000">
            <w:r>
              <w:t>7.7</w:t>
            </w:r>
          </w:p>
        </w:tc>
        <w:tc>
          <w:tcPr>
            <w:tcW w:w="2500" w:type="dxa"/>
            <w:tcBorders>
              <w:top w:val="single" w:sz="1" w:space="0" w:color="DCDBD7"/>
              <w:left w:val="single" w:sz="1" w:space="0" w:color="DCDBD7"/>
              <w:bottom w:val="single" w:sz="1" w:space="0" w:color="DCDBD7"/>
              <w:right w:val="single" w:sz="1" w:space="0" w:color="DCDBD7"/>
            </w:tcBorders>
          </w:tcPr>
          <w:p w14:paraId="4B0FDA0B" w14:textId="77777777" w:rsidR="00C325E6" w:rsidRDefault="00000000">
            <w:r>
              <w:t>—</w:t>
            </w:r>
          </w:p>
        </w:tc>
        <w:tc>
          <w:tcPr>
            <w:tcW w:w="1526" w:type="dxa"/>
            <w:tcBorders>
              <w:top w:val="single" w:sz="1" w:space="0" w:color="DCDBD7"/>
              <w:left w:val="single" w:sz="1" w:space="0" w:color="DCDBD7"/>
              <w:bottom w:val="single" w:sz="1" w:space="0" w:color="DCDBD7"/>
              <w:right w:val="single" w:sz="1" w:space="0" w:color="DCDBD7"/>
            </w:tcBorders>
          </w:tcPr>
          <w:p w14:paraId="3A2CB00A" w14:textId="77777777" w:rsidR="00C325E6" w:rsidRDefault="00000000">
            <w:r>
              <w:t>Info</w:t>
            </w:r>
          </w:p>
        </w:tc>
      </w:tr>
      <w:tr w:rsidR="00C325E6" w14:paraId="0CEA4271" w14:textId="77777777">
        <w:tc>
          <w:tcPr>
            <w:tcW w:w="3000" w:type="dxa"/>
            <w:tcBorders>
              <w:top w:val="single" w:sz="1" w:space="0" w:color="DCDBD7"/>
              <w:left w:val="single" w:sz="1" w:space="0" w:color="DCDBD7"/>
              <w:bottom w:val="single" w:sz="1" w:space="0" w:color="DCDBD7"/>
              <w:right w:val="single" w:sz="1" w:space="0" w:color="DCDBD7"/>
            </w:tcBorders>
            <w:shd w:val="clear" w:color="auto" w:fill="FAF9F5"/>
          </w:tcPr>
          <w:p w14:paraId="08473E86" w14:textId="77777777" w:rsidR="00C325E6" w:rsidRDefault="00000000">
            <w:r>
              <w:t>Automated Readability (ARI)</w:t>
            </w:r>
          </w:p>
        </w:tc>
        <w:tc>
          <w:tcPr>
            <w:tcW w:w="2000" w:type="dxa"/>
            <w:tcBorders>
              <w:top w:val="single" w:sz="1" w:space="0" w:color="DCDBD7"/>
              <w:left w:val="single" w:sz="1" w:space="0" w:color="DCDBD7"/>
              <w:bottom w:val="single" w:sz="1" w:space="0" w:color="DCDBD7"/>
              <w:right w:val="single" w:sz="1" w:space="0" w:color="DCDBD7"/>
            </w:tcBorders>
            <w:shd w:val="clear" w:color="auto" w:fill="FAF9F5"/>
          </w:tcPr>
          <w:p w14:paraId="30365FEA" w14:textId="77777777" w:rsidR="00C325E6" w:rsidRDefault="00000000">
            <w:r>
              <w:t>8.2</w:t>
            </w:r>
          </w:p>
        </w:tc>
        <w:tc>
          <w:tcPr>
            <w:tcW w:w="2500" w:type="dxa"/>
            <w:tcBorders>
              <w:top w:val="single" w:sz="1" w:space="0" w:color="DCDBD7"/>
              <w:left w:val="single" w:sz="1" w:space="0" w:color="DCDBD7"/>
              <w:bottom w:val="single" w:sz="1" w:space="0" w:color="DCDBD7"/>
              <w:right w:val="single" w:sz="1" w:space="0" w:color="DCDBD7"/>
            </w:tcBorders>
            <w:shd w:val="clear" w:color="auto" w:fill="FAF9F5"/>
          </w:tcPr>
          <w:p w14:paraId="310A678E" w14:textId="77777777" w:rsidR="00C325E6" w:rsidRDefault="00000000">
            <w:r>
              <w:t>—</w:t>
            </w:r>
          </w:p>
        </w:tc>
        <w:tc>
          <w:tcPr>
            <w:tcW w:w="1526" w:type="dxa"/>
            <w:tcBorders>
              <w:top w:val="single" w:sz="1" w:space="0" w:color="DCDBD7"/>
              <w:left w:val="single" w:sz="1" w:space="0" w:color="DCDBD7"/>
              <w:bottom w:val="single" w:sz="1" w:space="0" w:color="DCDBD7"/>
              <w:right w:val="single" w:sz="1" w:space="0" w:color="DCDBD7"/>
            </w:tcBorders>
            <w:shd w:val="clear" w:color="auto" w:fill="FAF9F5"/>
          </w:tcPr>
          <w:p w14:paraId="77337A5D" w14:textId="77777777" w:rsidR="00C325E6" w:rsidRDefault="00000000">
            <w:r>
              <w:t>Info</w:t>
            </w:r>
          </w:p>
        </w:tc>
      </w:tr>
      <w:tr w:rsidR="00C325E6" w14:paraId="2AAD4109" w14:textId="77777777">
        <w:tc>
          <w:tcPr>
            <w:tcW w:w="3000" w:type="dxa"/>
            <w:tcBorders>
              <w:top w:val="single" w:sz="1" w:space="0" w:color="DCDBD7"/>
              <w:left w:val="single" w:sz="1" w:space="0" w:color="DCDBD7"/>
              <w:bottom w:val="single" w:sz="1" w:space="0" w:color="DCDBD7"/>
              <w:right w:val="single" w:sz="1" w:space="0" w:color="DCDBD7"/>
            </w:tcBorders>
          </w:tcPr>
          <w:p w14:paraId="120397E2" w14:textId="77777777" w:rsidR="00C325E6" w:rsidRDefault="00000000">
            <w:r>
              <w:t>SMOG Index</w:t>
            </w:r>
          </w:p>
        </w:tc>
        <w:tc>
          <w:tcPr>
            <w:tcW w:w="2000" w:type="dxa"/>
            <w:tcBorders>
              <w:top w:val="single" w:sz="1" w:space="0" w:color="DCDBD7"/>
              <w:left w:val="single" w:sz="1" w:space="0" w:color="DCDBD7"/>
              <w:bottom w:val="single" w:sz="1" w:space="0" w:color="DCDBD7"/>
              <w:right w:val="single" w:sz="1" w:space="0" w:color="DCDBD7"/>
            </w:tcBorders>
          </w:tcPr>
          <w:p w14:paraId="2EE680BC" w14:textId="77777777" w:rsidR="00C325E6" w:rsidRDefault="00000000">
            <w:r>
              <w:t>8.8</w:t>
            </w:r>
          </w:p>
        </w:tc>
        <w:tc>
          <w:tcPr>
            <w:tcW w:w="2500" w:type="dxa"/>
            <w:tcBorders>
              <w:top w:val="single" w:sz="1" w:space="0" w:color="DCDBD7"/>
              <w:left w:val="single" w:sz="1" w:space="0" w:color="DCDBD7"/>
              <w:bottom w:val="single" w:sz="1" w:space="0" w:color="DCDBD7"/>
              <w:right w:val="single" w:sz="1" w:space="0" w:color="DCDBD7"/>
            </w:tcBorders>
          </w:tcPr>
          <w:p w14:paraId="5BE578A6" w14:textId="77777777" w:rsidR="00C325E6" w:rsidRDefault="00000000">
            <w:r>
              <w:t>—</w:t>
            </w:r>
          </w:p>
        </w:tc>
        <w:tc>
          <w:tcPr>
            <w:tcW w:w="1526" w:type="dxa"/>
            <w:tcBorders>
              <w:top w:val="single" w:sz="1" w:space="0" w:color="DCDBD7"/>
              <w:left w:val="single" w:sz="1" w:space="0" w:color="DCDBD7"/>
              <w:bottom w:val="single" w:sz="1" w:space="0" w:color="DCDBD7"/>
              <w:right w:val="single" w:sz="1" w:space="0" w:color="DCDBD7"/>
            </w:tcBorders>
          </w:tcPr>
          <w:p w14:paraId="0D5255AB" w14:textId="77777777" w:rsidR="00C325E6" w:rsidRDefault="00000000">
            <w:r>
              <w:t>Info</w:t>
            </w:r>
          </w:p>
        </w:tc>
      </w:tr>
      <w:tr w:rsidR="00C325E6" w14:paraId="1DA924DD" w14:textId="77777777">
        <w:tc>
          <w:tcPr>
            <w:tcW w:w="3000" w:type="dxa"/>
            <w:tcBorders>
              <w:top w:val="single" w:sz="1" w:space="0" w:color="DCDBD7"/>
              <w:left w:val="single" w:sz="1" w:space="0" w:color="DCDBD7"/>
              <w:bottom w:val="single" w:sz="1" w:space="0" w:color="DCDBD7"/>
              <w:right w:val="single" w:sz="1" w:space="0" w:color="DCDBD7"/>
            </w:tcBorders>
            <w:shd w:val="clear" w:color="auto" w:fill="FAF9F5"/>
          </w:tcPr>
          <w:p w14:paraId="53A4CDC9" w14:textId="77777777" w:rsidR="00C325E6" w:rsidRDefault="00000000">
            <w:r>
              <w:t>Coleman-Liau Index</w:t>
            </w:r>
          </w:p>
        </w:tc>
        <w:tc>
          <w:tcPr>
            <w:tcW w:w="2000" w:type="dxa"/>
            <w:tcBorders>
              <w:top w:val="single" w:sz="1" w:space="0" w:color="DCDBD7"/>
              <w:left w:val="single" w:sz="1" w:space="0" w:color="DCDBD7"/>
              <w:bottom w:val="single" w:sz="1" w:space="0" w:color="DCDBD7"/>
              <w:right w:val="single" w:sz="1" w:space="0" w:color="DCDBD7"/>
            </w:tcBorders>
            <w:shd w:val="clear" w:color="auto" w:fill="FAF9F5"/>
          </w:tcPr>
          <w:p w14:paraId="747777DA" w14:textId="77777777" w:rsidR="00C325E6" w:rsidRDefault="00000000">
            <w:r>
              <w:t>9.8</w:t>
            </w:r>
          </w:p>
        </w:tc>
        <w:tc>
          <w:tcPr>
            <w:tcW w:w="2500" w:type="dxa"/>
            <w:tcBorders>
              <w:top w:val="single" w:sz="1" w:space="0" w:color="DCDBD7"/>
              <w:left w:val="single" w:sz="1" w:space="0" w:color="DCDBD7"/>
              <w:bottom w:val="single" w:sz="1" w:space="0" w:color="DCDBD7"/>
              <w:right w:val="single" w:sz="1" w:space="0" w:color="DCDBD7"/>
            </w:tcBorders>
            <w:shd w:val="clear" w:color="auto" w:fill="FAF9F5"/>
          </w:tcPr>
          <w:p w14:paraId="263DCC40" w14:textId="77777777" w:rsidR="00C325E6" w:rsidRDefault="00000000">
            <w:r>
              <w:t>—</w:t>
            </w:r>
          </w:p>
        </w:tc>
        <w:tc>
          <w:tcPr>
            <w:tcW w:w="1526" w:type="dxa"/>
            <w:tcBorders>
              <w:top w:val="single" w:sz="1" w:space="0" w:color="DCDBD7"/>
              <w:left w:val="single" w:sz="1" w:space="0" w:color="DCDBD7"/>
              <w:bottom w:val="single" w:sz="1" w:space="0" w:color="DCDBD7"/>
              <w:right w:val="single" w:sz="1" w:space="0" w:color="DCDBD7"/>
            </w:tcBorders>
            <w:shd w:val="clear" w:color="auto" w:fill="FAF9F5"/>
          </w:tcPr>
          <w:p w14:paraId="2BD17603" w14:textId="77777777" w:rsidR="00C325E6" w:rsidRDefault="00000000">
            <w:r>
              <w:t>Info</w:t>
            </w:r>
          </w:p>
        </w:tc>
      </w:tr>
    </w:tbl>
    <w:p w14:paraId="7CF7E89B" w14:textId="77777777" w:rsidR="00C325E6" w:rsidRDefault="00C325E6">
      <w:pPr>
        <w:spacing w:before="240"/>
      </w:pPr>
    </w:p>
    <w:p w14:paraId="4DA37699" w14:textId="77777777" w:rsidR="00C325E6" w:rsidRDefault="00000000">
      <w:r>
        <w:rPr>
          <w:b/>
          <w:bCs/>
          <w:sz w:val="22"/>
          <w:szCs w:val="22"/>
        </w:rPr>
        <w:t>3. Text Statistics</w:t>
      </w:r>
    </w:p>
    <w:p w14:paraId="1309A1D4" w14:textId="77777777" w:rsidR="00C325E6" w:rsidRDefault="00C325E6">
      <w:pPr>
        <w:spacing w:before="120"/>
      </w:pPr>
    </w:p>
    <w:p w14:paraId="7391F81C" w14:textId="77777777" w:rsidR="00C325E6" w:rsidRDefault="00000000">
      <w:pPr>
        <w:pStyle w:val="ListParagraph"/>
        <w:numPr>
          <w:ilvl w:val="0"/>
          <w:numId w:val="1"/>
        </w:numPr>
      </w:pPr>
      <w:r>
        <w:rPr>
          <w:b/>
          <w:bCs/>
        </w:rPr>
        <w:t xml:space="preserve">Word Count: </w:t>
      </w:r>
      <w:r>
        <w:t>375 words. This is the optimal length for an assessment reading text in Year 5, ensuring students have enough text to find facts without inducing fatigue.</w:t>
      </w:r>
    </w:p>
    <w:p w14:paraId="41E84FEB" w14:textId="77777777" w:rsidR="00C325E6" w:rsidRDefault="00000000">
      <w:pPr>
        <w:pStyle w:val="ListParagraph"/>
        <w:numPr>
          <w:ilvl w:val="0"/>
          <w:numId w:val="1"/>
        </w:numPr>
      </w:pPr>
      <w:r>
        <w:rPr>
          <w:b/>
          <w:bCs/>
        </w:rPr>
        <w:t xml:space="preserve">Sentence Count: </w:t>
      </w:r>
      <w:r>
        <w:t>31 sentences.</w:t>
      </w:r>
    </w:p>
    <w:p w14:paraId="084ECD0E" w14:textId="77777777" w:rsidR="00C325E6" w:rsidRDefault="00000000">
      <w:pPr>
        <w:pStyle w:val="ListParagraph"/>
        <w:numPr>
          <w:ilvl w:val="0"/>
          <w:numId w:val="1"/>
        </w:numPr>
      </w:pPr>
      <w:r>
        <w:rPr>
          <w:b/>
          <w:bCs/>
        </w:rPr>
        <w:t xml:space="preserve">Average Sentence Length: </w:t>
      </w:r>
      <w:r>
        <w:t>12.1 words. This falls comfortably below the maximum recommendation of 15 words per sentence for primary-aged students, ensuring clarity and minimizing cognitive load.</w:t>
      </w:r>
    </w:p>
    <w:p w14:paraId="521D4E07" w14:textId="77777777" w:rsidR="00C325E6" w:rsidRDefault="00C325E6">
      <w:pPr>
        <w:spacing w:before="240"/>
      </w:pPr>
    </w:p>
    <w:p w14:paraId="4947485F" w14:textId="77777777" w:rsidR="00C325E6" w:rsidRDefault="00000000">
      <w:r>
        <w:rPr>
          <w:b/>
          <w:bCs/>
          <w:sz w:val="22"/>
          <w:szCs w:val="22"/>
        </w:rPr>
        <w:t>4. Target Level Alignment &amp; Pedagogy</w:t>
      </w:r>
    </w:p>
    <w:p w14:paraId="4EB03895" w14:textId="77777777" w:rsidR="00C325E6" w:rsidRDefault="00C325E6">
      <w:pPr>
        <w:spacing w:before="120"/>
      </w:pPr>
    </w:p>
    <w:p w14:paraId="59777E53" w14:textId="77777777" w:rsidR="00C325E6" w:rsidRDefault="00000000">
      <w:pPr>
        <w:spacing w:after="120"/>
        <w:jc w:val="both"/>
      </w:pPr>
      <w:r>
        <w:rPr>
          <w:b/>
          <w:bCs/>
          <w:color w:val="C2410C"/>
        </w:rPr>
        <w:t xml:space="preserve">L2 Reading Standards: </w:t>
      </w:r>
      <w:r>
        <w:t>The reading passage is designed for Level 2 (10-11 years, equivalent to Year 5/6). The Gunning Fog (7.7) and SMOG (8.8) scores show that the text introduces specialized vocabulary but remains syntactically simple. This structure allows students to focus their cognitive effort on comprehending scientific concepts rather than decoding convoluted sentences.</w:t>
      </w:r>
    </w:p>
    <w:p w14:paraId="583619F5" w14:textId="77777777" w:rsidR="00C325E6" w:rsidRDefault="00000000">
      <w:pPr>
        <w:spacing w:after="120"/>
        <w:jc w:val="both"/>
      </w:pPr>
      <w:r>
        <w:rPr>
          <w:b/>
          <w:bCs/>
          <w:color w:val="C2410C"/>
        </w:rPr>
        <w:lastRenderedPageBreak/>
        <w:t xml:space="preserve">Linguistic Scaffolding: </w:t>
      </w:r>
      <w:r>
        <w:t>Technical terminology (e.g., tectonic plates, fault, epicentre, focus, seismograph, seismic waves) is systematically scaffolded. Every scientific term is followed immediately by an inline parenthetical definition (e.g., 'crust (the hard, rocky outer layer of Earth)'). This scaffolding supports the Australian Curriculum v9 English guidelines for information reports and builds scientific literacy.</w:t>
      </w:r>
    </w:p>
    <w:p w14:paraId="2E8EA3BF" w14:textId="77777777" w:rsidR="00C325E6" w:rsidRDefault="00000000">
      <w:pPr>
        <w:spacing w:before="480"/>
        <w:jc w:val="center"/>
      </w:pPr>
      <w:r>
        <w:rPr>
          <w:color w:val="57606A"/>
          <w:sz w:val="14"/>
          <w:szCs w:val="14"/>
        </w:rPr>
        <w:t>Science Focus Editorial • Readability Audit Registry</w:t>
      </w:r>
    </w:p>
    <w:sectPr w:rsidR="00C325E6" w:rsidSect="00B1057B">
      <w:pgSz w:w="11906" w:h="16838"/>
      <w:pgMar w:top="1440" w:right="707" w:bottom="56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035D8"/>
    <w:multiLevelType w:val="hybridMultilevel"/>
    <w:tmpl w:val="D9BC912C"/>
    <w:lvl w:ilvl="0" w:tplc="AA3C73BA">
      <w:start w:val="1"/>
      <w:numFmt w:val="bullet"/>
      <w:lvlText w:val="●"/>
      <w:lvlJc w:val="left"/>
      <w:pPr>
        <w:ind w:left="720" w:hanging="360"/>
      </w:pPr>
    </w:lvl>
    <w:lvl w:ilvl="1" w:tplc="481CD86A">
      <w:start w:val="1"/>
      <w:numFmt w:val="bullet"/>
      <w:lvlText w:val="○"/>
      <w:lvlJc w:val="left"/>
      <w:pPr>
        <w:ind w:left="1440" w:hanging="360"/>
      </w:pPr>
    </w:lvl>
    <w:lvl w:ilvl="2" w:tplc="D1FEB3F6">
      <w:start w:val="1"/>
      <w:numFmt w:val="bullet"/>
      <w:lvlText w:val="■"/>
      <w:lvlJc w:val="left"/>
      <w:pPr>
        <w:ind w:left="2160" w:hanging="360"/>
      </w:pPr>
    </w:lvl>
    <w:lvl w:ilvl="3" w:tplc="833C1F38">
      <w:start w:val="1"/>
      <w:numFmt w:val="bullet"/>
      <w:lvlText w:val="●"/>
      <w:lvlJc w:val="left"/>
      <w:pPr>
        <w:ind w:left="2880" w:hanging="360"/>
      </w:pPr>
    </w:lvl>
    <w:lvl w:ilvl="4" w:tplc="1682CEE8">
      <w:start w:val="1"/>
      <w:numFmt w:val="bullet"/>
      <w:lvlText w:val="○"/>
      <w:lvlJc w:val="left"/>
      <w:pPr>
        <w:ind w:left="3600" w:hanging="360"/>
      </w:pPr>
    </w:lvl>
    <w:lvl w:ilvl="5" w:tplc="4BB6FD9A">
      <w:start w:val="1"/>
      <w:numFmt w:val="bullet"/>
      <w:lvlText w:val="■"/>
      <w:lvlJc w:val="left"/>
      <w:pPr>
        <w:ind w:left="4320" w:hanging="360"/>
      </w:pPr>
    </w:lvl>
    <w:lvl w:ilvl="6" w:tplc="B41C2696">
      <w:start w:val="1"/>
      <w:numFmt w:val="bullet"/>
      <w:lvlText w:val="●"/>
      <w:lvlJc w:val="left"/>
      <w:pPr>
        <w:ind w:left="5040" w:hanging="360"/>
      </w:pPr>
    </w:lvl>
    <w:lvl w:ilvl="7" w:tplc="CC58EA3C">
      <w:start w:val="1"/>
      <w:numFmt w:val="bullet"/>
      <w:lvlText w:val="●"/>
      <w:lvlJc w:val="left"/>
      <w:pPr>
        <w:ind w:left="5760" w:hanging="360"/>
      </w:pPr>
    </w:lvl>
    <w:lvl w:ilvl="8" w:tplc="BF26C418">
      <w:start w:val="1"/>
      <w:numFmt w:val="bullet"/>
      <w:lvlText w:val="●"/>
      <w:lvlJc w:val="left"/>
      <w:pPr>
        <w:ind w:left="6480" w:hanging="360"/>
      </w:pPr>
    </w:lvl>
  </w:abstractNum>
  <w:num w:numId="1" w16cid:durableId="1684283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5E6"/>
    <w:rsid w:val="00A14655"/>
    <w:rsid w:val="00B1057B"/>
    <w:rsid w:val="00C325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C0DB6"/>
  <w15:docId w15:val="{C3A43F9A-552F-4C1F-A675-8680F8E39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42B"/>
        <w:sz w:val="23"/>
        <w:szCs w:val="23"/>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334</Words>
  <Characters>1797</Characters>
  <Application>Microsoft Office Word</Application>
  <DocSecurity>0</DocSecurity>
  <Lines>40</Lines>
  <Paragraphs>21</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SUTHERLAND, Douglas (dsuth10)</cp:lastModifiedBy>
  <cp:revision>2</cp:revision>
  <dcterms:created xsi:type="dcterms:W3CDTF">2026-06-03T02:49:00Z</dcterms:created>
  <dcterms:modified xsi:type="dcterms:W3CDTF">2026-06-03T02:54:00Z</dcterms:modified>
</cp:coreProperties>
</file>